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E660" w14:textId="77777777" w:rsidR="0047783A" w:rsidRPr="001A2BC4" w:rsidRDefault="0047783A" w:rsidP="001A2BC4">
      <w:pPr>
        <w:pStyle w:val="Heading1"/>
      </w:pPr>
      <w:bookmarkStart w:id="0" w:name="_Toc42488069"/>
      <w:r>
        <w:t>A.</w:t>
      </w:r>
      <w:r>
        <w:tab/>
        <w:t>INSTRUCTIONS AUX SOUMISSIONNAIRES</w:t>
      </w:r>
      <w:bookmarkEnd w:id="0"/>
    </w:p>
    <w:p w14:paraId="4730BCA1" w14:textId="345172AA" w:rsidR="0047783A" w:rsidRPr="00E82463" w:rsidRDefault="0047783A">
      <w:pPr>
        <w:pStyle w:val="Subtitle"/>
        <w:spacing w:after="240"/>
        <w:jc w:val="left"/>
        <w:rPr>
          <w:rFonts w:ascii="Times New Roman" w:hAnsi="Times New Roman"/>
          <w:szCs w:val="28"/>
        </w:rPr>
      </w:pPr>
      <w:r>
        <w:rPr>
          <w:rFonts w:ascii="Times New Roman" w:hAnsi="Times New Roman"/>
          <w:szCs w:val="28"/>
        </w:rPr>
        <w:t xml:space="preserve">RÉFÉRENCE DE LA </w:t>
      </w:r>
      <w:proofErr w:type="gramStart"/>
      <w:r>
        <w:rPr>
          <w:rFonts w:ascii="Times New Roman" w:hAnsi="Times New Roman"/>
          <w:szCs w:val="28"/>
        </w:rPr>
        <w:t>PUBLICATION:</w:t>
      </w:r>
      <w:proofErr w:type="gramEnd"/>
      <w:r>
        <w:rPr>
          <w:rFonts w:ascii="Times New Roman" w:hAnsi="Times New Roman"/>
          <w:szCs w:val="28"/>
        </w:rPr>
        <w:t xml:space="preserve"> </w:t>
      </w:r>
      <w:proofErr w:type="gramStart"/>
      <w:r>
        <w:rPr>
          <w:rFonts w:ascii="Times New Roman" w:hAnsi="Times New Roman"/>
          <w:szCs w:val="28"/>
        </w:rPr>
        <w:t>&lt;</w:t>
      </w:r>
      <w:r w:rsidR="00916181" w:rsidRPr="00916181">
        <w:rPr>
          <w:rFonts w:ascii="Times New Roman" w:hAnsi="Times New Roman"/>
          <w:szCs w:val="28"/>
        </w:rPr>
        <w:t>:</w:t>
      </w:r>
      <w:proofErr w:type="gramEnd"/>
      <w:r w:rsidR="00916181" w:rsidRPr="00916181">
        <w:rPr>
          <w:rFonts w:ascii="Times New Roman" w:hAnsi="Times New Roman"/>
          <w:szCs w:val="28"/>
        </w:rPr>
        <w:t xml:space="preserve"> PMSAN2 /DP/INV/VEH/001</w:t>
      </w:r>
      <w:r>
        <w:rPr>
          <w:rFonts w:ascii="Times New Roman" w:hAnsi="Times New Roman"/>
          <w:szCs w:val="28"/>
        </w:rPr>
        <w:t>&gt;</w:t>
      </w:r>
    </w:p>
    <w:p w14:paraId="33C13877" w14:textId="77777777" w:rsidR="0047783A" w:rsidRPr="00E82463" w:rsidRDefault="00121DE4">
      <w:pPr>
        <w:pStyle w:val="Subtitle"/>
        <w:spacing w:before="0" w:after="240"/>
        <w:jc w:val="both"/>
        <w:rPr>
          <w:rFonts w:ascii="Times New Roman" w:hAnsi="Times New Roman"/>
          <w:sz w:val="22"/>
        </w:rPr>
      </w:pPr>
      <w:r>
        <w:rPr>
          <w:rFonts w:ascii="Times New Roman" w:hAnsi="Times New Roman"/>
          <w:sz w:val="22"/>
        </w:rPr>
        <w:t xml:space="preserve">En soumettant une offre, les soumissionnaires acceptent pleinement et sans restriction les conditions générales et particulières qui régissent le marché comme seule base du présent appel d’offres, quelles que soient leurs propres conditions de vente auxquelles ils déclarent renoncer. Les soumissionnaires sont réputés avoir examiné attentivement tous les formulaires, instructions, dispositions contractuelles et spécifications contenus dans le présent dossier d’appel d’offres et sont tenus de s’y conformer. Les soumissionnaires qui ne soumettent pas une offre contenant toutes les informations et tous les documents nécessaires avant la date limite verront leur offre rejetée. Il ne saurait être tenu compte des remarques éventuelles formulées dans l’offre à propos du dossier d’appel </w:t>
      </w:r>
      <w:proofErr w:type="gramStart"/>
      <w:r>
        <w:rPr>
          <w:rFonts w:ascii="Times New Roman" w:hAnsi="Times New Roman"/>
          <w:sz w:val="22"/>
        </w:rPr>
        <w:t>d’offres;</w:t>
      </w:r>
      <w:proofErr w:type="gramEnd"/>
      <w:r>
        <w:rPr>
          <w:rFonts w:ascii="Times New Roman" w:hAnsi="Times New Roman"/>
          <w:sz w:val="22"/>
        </w:rPr>
        <w:t xml:space="preserve"> les remarques sont susceptibles d’entraîner le rejet immédiat de l’offre sans qu’il soit procédé à son évaluation.</w:t>
      </w:r>
    </w:p>
    <w:p w14:paraId="5CFB45BA" w14:textId="0FB87B78" w:rsidR="0047783A" w:rsidRPr="001A2BC4" w:rsidRDefault="00A633C6" w:rsidP="009956B4">
      <w:pPr>
        <w:pStyle w:val="Heading1"/>
      </w:pPr>
      <w:bookmarkStart w:id="1" w:name="_Toc42488070"/>
      <w:r>
        <w:t>1. Fournitures faisant l’objet du marché</w:t>
      </w:r>
      <w:bookmarkEnd w:id="1"/>
    </w:p>
    <w:p w14:paraId="2EAEE203" w14:textId="77777777" w:rsidR="00C7322E" w:rsidRDefault="0047783A" w:rsidP="00DF7A40">
      <w:pPr>
        <w:pStyle w:val="Heading2"/>
        <w:keepNext w:val="0"/>
        <w:ind w:left="567" w:hanging="567"/>
        <w:jc w:val="both"/>
        <w:rPr>
          <w:rFonts w:ascii="Times New Roman" w:hAnsi="Times New Roman"/>
          <w:sz w:val="22"/>
        </w:rPr>
      </w:pPr>
      <w:r>
        <w:rPr>
          <w:rFonts w:ascii="Times New Roman" w:hAnsi="Times New Roman"/>
          <w:sz w:val="22"/>
        </w:rPr>
        <w:t>1.1</w:t>
      </w:r>
      <w:r>
        <w:rPr>
          <w:rFonts w:ascii="Times New Roman" w:hAnsi="Times New Roman"/>
          <w:sz w:val="22"/>
        </w:rPr>
        <w:tab/>
        <w:t xml:space="preserve">Le marché a pour </w:t>
      </w:r>
      <w:proofErr w:type="gramStart"/>
      <w:r>
        <w:rPr>
          <w:rFonts w:ascii="Times New Roman" w:hAnsi="Times New Roman"/>
          <w:sz w:val="22"/>
        </w:rPr>
        <w:t>objet:</w:t>
      </w:r>
      <w:proofErr w:type="gramEnd"/>
    </w:p>
    <w:p w14:paraId="1D2AE786" w14:textId="2FA413A5" w:rsidR="00C7322E" w:rsidRPr="0042695A" w:rsidRDefault="00762EA9" w:rsidP="0042695A">
      <w:pPr>
        <w:spacing w:before="0" w:after="0"/>
        <w:ind w:left="709" w:hanging="142"/>
        <w:jc w:val="both"/>
        <w:rPr>
          <w:highlight w:val="yellow"/>
        </w:rPr>
      </w:pPr>
      <w:proofErr w:type="gramStart"/>
      <w:r w:rsidRPr="00762EA9">
        <w:rPr>
          <w:rFonts w:ascii="Times New Roman" w:hAnsi="Times New Roman"/>
          <w:sz w:val="22"/>
        </w:rPr>
        <w:t>la</w:t>
      </w:r>
      <w:proofErr w:type="gramEnd"/>
      <w:r w:rsidRPr="00762EA9">
        <w:rPr>
          <w:rFonts w:ascii="Times New Roman" w:hAnsi="Times New Roman"/>
          <w:sz w:val="22"/>
        </w:rPr>
        <w:t xml:space="preserve"> fourniture, la livraison la mise en service, l’entretien et le service après-vente par le contractant</w:t>
      </w:r>
      <w:r w:rsidR="00C7322E">
        <w:rPr>
          <w:rFonts w:ascii="Times New Roman" w:hAnsi="Times New Roman"/>
          <w:sz w:val="22"/>
        </w:rPr>
        <w:t xml:space="preserve"> des fournitures </w:t>
      </w:r>
      <w:proofErr w:type="gramStart"/>
      <w:r w:rsidR="00C7322E">
        <w:rPr>
          <w:rFonts w:ascii="Times New Roman" w:hAnsi="Times New Roman"/>
          <w:sz w:val="22"/>
        </w:rPr>
        <w:t>suivantes:</w:t>
      </w:r>
      <w:proofErr w:type="gramEnd"/>
    </w:p>
    <w:p w14:paraId="0086F5CD" w14:textId="1C636B44" w:rsidR="0047783A" w:rsidRPr="00E82463" w:rsidRDefault="00874473" w:rsidP="00E82463">
      <w:pPr>
        <w:ind w:left="567"/>
        <w:jc w:val="both"/>
        <w:rPr>
          <w:rFonts w:ascii="Times New Roman" w:hAnsi="Times New Roman"/>
          <w:sz w:val="22"/>
        </w:rPr>
      </w:pPr>
      <w:r>
        <w:rPr>
          <w:rFonts w:ascii="Times New Roman" w:hAnsi="Times New Roman"/>
          <w:sz w:val="22"/>
        </w:rPr>
        <w:t>Quatre</w:t>
      </w:r>
      <w:r w:rsidR="00B33B43">
        <w:rPr>
          <w:rFonts w:ascii="Times New Roman" w:hAnsi="Times New Roman"/>
          <w:sz w:val="22"/>
        </w:rPr>
        <w:t xml:space="preserve"> (4)</w:t>
      </w:r>
      <w:r w:rsidR="009037F5" w:rsidRPr="009037F5">
        <w:rPr>
          <w:rFonts w:ascii="Times New Roman" w:hAnsi="Times New Roman"/>
          <w:sz w:val="22"/>
        </w:rPr>
        <w:t xml:space="preserve"> véhicules station wagon tout terrain avec la garantie constructeur et le service après- vente, au projet de Renforcement de la Gouvernance Intersectorielle de la Sécurité Alimentaire et Nutritionnelle au niveau National et Départemental (Nord-Ouest, Nord-Est, Zone Métropolitaine de </w:t>
      </w:r>
      <w:proofErr w:type="spellStart"/>
      <w:r w:rsidR="009037F5" w:rsidRPr="009037F5">
        <w:rPr>
          <w:rFonts w:ascii="Times New Roman" w:hAnsi="Times New Roman"/>
          <w:sz w:val="22"/>
        </w:rPr>
        <w:t>PaP</w:t>
      </w:r>
      <w:proofErr w:type="spellEnd"/>
      <w:r w:rsidR="009037F5" w:rsidRPr="009037F5">
        <w:rPr>
          <w:rFonts w:ascii="Times New Roman" w:hAnsi="Times New Roman"/>
          <w:sz w:val="22"/>
        </w:rPr>
        <w:t xml:space="preserve"> et Haut Artibonite) du Programme Multisectoriel de Sécurité Alimentaire et Nutritionnelle visant les populations les plus vulnérables  SAN 11e FED / 2023 / 447-398  D</w:t>
      </w:r>
      <w:r w:rsidR="00B177FF">
        <w:rPr>
          <w:rFonts w:ascii="Times New Roman" w:hAnsi="Times New Roman"/>
          <w:sz w:val="22"/>
        </w:rPr>
        <w:t>A</w:t>
      </w:r>
      <w:r w:rsidR="009037F5" w:rsidRPr="009037F5">
        <w:rPr>
          <w:rFonts w:ascii="Times New Roman" w:hAnsi="Times New Roman"/>
          <w:sz w:val="22"/>
        </w:rPr>
        <w:t>P , à Port-au-Prince dans un délai de 60 jours à partir de la date de signature du contrat par les parties.</w:t>
      </w:r>
    </w:p>
    <w:p w14:paraId="54906AC6" w14:textId="77777777" w:rsidR="0047783A" w:rsidRPr="00E82463" w:rsidRDefault="00E82463" w:rsidP="00E82463">
      <w:pPr>
        <w:pStyle w:val="Heading2"/>
        <w:keepNext w:val="0"/>
        <w:ind w:left="567" w:hanging="567"/>
        <w:jc w:val="both"/>
        <w:rPr>
          <w:rFonts w:ascii="Times New Roman" w:hAnsi="Times New Roman"/>
          <w:sz w:val="22"/>
        </w:rPr>
      </w:pPr>
      <w:bookmarkStart w:id="2" w:name="_Ref499723935"/>
      <w:bookmarkStart w:id="3" w:name="_Ref500330319"/>
      <w:r>
        <w:rPr>
          <w:rFonts w:ascii="Times New Roman" w:hAnsi="Times New Roman"/>
          <w:sz w:val="22"/>
        </w:rPr>
        <w:t>1.2</w:t>
      </w:r>
      <w:r>
        <w:rPr>
          <w:rFonts w:ascii="Times New Roman" w:hAnsi="Times New Roman"/>
          <w:sz w:val="22"/>
        </w:rPr>
        <w:tab/>
        <w:t>Les fournitures doivent respecter toutes les spécifications techniques énoncées dans le dossier d’appel d’offres (annexe technique) et être conformes, à tous égards, aux plans, métrés, modèles, échantillons, calibres et autres instructions.</w:t>
      </w:r>
    </w:p>
    <w:bookmarkEnd w:id="2"/>
    <w:bookmarkEnd w:id="3"/>
    <w:p w14:paraId="435D1BB3" w14:textId="51899360" w:rsidR="0047783A" w:rsidRPr="00E82463" w:rsidRDefault="0047783A" w:rsidP="00E82463">
      <w:pPr>
        <w:pStyle w:val="Heading2"/>
        <w:keepNext w:val="0"/>
        <w:tabs>
          <w:tab w:val="left" w:pos="709"/>
        </w:tabs>
        <w:ind w:left="567" w:hanging="567"/>
        <w:jc w:val="both"/>
        <w:rPr>
          <w:rFonts w:ascii="Times New Roman" w:hAnsi="Times New Roman"/>
        </w:rPr>
      </w:pPr>
      <w:r w:rsidRPr="004C7F56">
        <w:rPr>
          <w:rFonts w:ascii="Times New Roman" w:hAnsi="Times New Roman"/>
          <w:sz w:val="22"/>
        </w:rPr>
        <w:t>1.3</w:t>
      </w:r>
      <w:r w:rsidRPr="004C7F56">
        <w:rPr>
          <w:rFonts w:ascii="Times New Roman" w:hAnsi="Times New Roman"/>
          <w:sz w:val="22"/>
        </w:rPr>
        <w:tab/>
        <w:t>[Les fournitures décrites au[x] lot[s] nº &lt;</w:t>
      </w:r>
      <w:r w:rsidR="00070CE5" w:rsidRPr="004C7F56">
        <w:rPr>
          <w:rFonts w:ascii="Times New Roman" w:hAnsi="Times New Roman"/>
          <w:sz w:val="22"/>
        </w:rPr>
        <w:t>01</w:t>
      </w:r>
      <w:r w:rsidRPr="004C7F56">
        <w:rPr>
          <w:rFonts w:ascii="Times New Roman" w:hAnsi="Times New Roman"/>
          <w:sz w:val="22"/>
        </w:rPr>
        <w:t>&gt; doivent être accompagnées d’un</w:t>
      </w:r>
      <w:proofErr w:type="gramStart"/>
      <w:r w:rsidRPr="004C7F56">
        <w:rPr>
          <w:rFonts w:ascii="Times New Roman" w:hAnsi="Times New Roman"/>
          <w:sz w:val="22"/>
        </w:rPr>
        <w:t xml:space="preserve"> «lot</w:t>
      </w:r>
      <w:proofErr w:type="gramEnd"/>
      <w:r w:rsidRPr="004C7F56">
        <w:rPr>
          <w:rFonts w:ascii="Times New Roman" w:hAnsi="Times New Roman"/>
          <w:sz w:val="22"/>
        </w:rPr>
        <w:t xml:space="preserve">» supplémentaire de pièces de rechange et/ou de consommables. Ni le prix unitaire ni le prix global des pièces de rechange n’entreront dans l’évaluation des offres, sauf s’ils diffèrent de manière significative d’une offre à l’autre. Les soumissionnaires devront établir la liste des pièces de rechange en se basant sur leur expérience professionnelle et en tenant compte du lieu </w:t>
      </w:r>
      <w:proofErr w:type="gramStart"/>
      <w:r w:rsidRPr="004C7F56">
        <w:rPr>
          <w:rFonts w:ascii="Times New Roman" w:hAnsi="Times New Roman"/>
          <w:sz w:val="22"/>
        </w:rPr>
        <w:t>d’utilisation;</w:t>
      </w:r>
      <w:proofErr w:type="gramEnd"/>
      <w:r w:rsidRPr="004C7F56">
        <w:rPr>
          <w:rFonts w:ascii="Times New Roman" w:hAnsi="Times New Roman"/>
          <w:sz w:val="22"/>
        </w:rPr>
        <w:t xml:space="preserve"> cette liste doit préciser les prix unitaires des pièces, calculés selon les dispositions du point 11 (ci-après). Le pouvoir adjudicateur se réserve le droit de modifier la liste des pièces de </w:t>
      </w:r>
      <w:proofErr w:type="gramStart"/>
      <w:r w:rsidRPr="004C7F56">
        <w:rPr>
          <w:rFonts w:ascii="Times New Roman" w:hAnsi="Times New Roman"/>
          <w:sz w:val="22"/>
        </w:rPr>
        <w:t>rechange;</w:t>
      </w:r>
      <w:proofErr w:type="gramEnd"/>
      <w:r w:rsidRPr="004C7F56">
        <w:rPr>
          <w:rFonts w:ascii="Times New Roman" w:hAnsi="Times New Roman"/>
          <w:sz w:val="22"/>
        </w:rPr>
        <w:t xml:space="preserve"> les modifications éventuelles seront indiquées dans le contrat.]</w:t>
      </w:r>
    </w:p>
    <w:p w14:paraId="65FC8B4D" w14:textId="77777777" w:rsidR="0047783A" w:rsidRDefault="0047783A" w:rsidP="002A1860">
      <w:pPr>
        <w:pStyle w:val="Heading2"/>
        <w:ind w:left="567" w:hanging="567"/>
        <w:jc w:val="both"/>
        <w:rPr>
          <w:rFonts w:ascii="Times New Roman" w:hAnsi="Times New Roman"/>
          <w:sz w:val="22"/>
        </w:rPr>
      </w:pPr>
      <w:r>
        <w:rPr>
          <w:rFonts w:ascii="Times New Roman" w:hAnsi="Times New Roman"/>
          <w:sz w:val="22"/>
        </w:rPr>
        <w:t xml:space="preserve">1.4 </w:t>
      </w:r>
      <w:r>
        <w:rPr>
          <w:rFonts w:ascii="Times New Roman" w:hAnsi="Times New Roman"/>
          <w:sz w:val="22"/>
        </w:rPr>
        <w:tab/>
        <w:t>Les soumissionnaires ne sont pas autorisés à soumettre une variante en plus de la présente offre.</w:t>
      </w:r>
      <w:r>
        <w:rPr>
          <w:rFonts w:ascii="Times New Roman" w:hAnsi="Times New Roman"/>
          <w:sz w:val="22"/>
        </w:rPr>
        <w:br/>
      </w:r>
    </w:p>
    <w:p w14:paraId="286A2B58" w14:textId="77777777" w:rsidR="00B177FF" w:rsidRDefault="00B177FF" w:rsidP="00B177FF"/>
    <w:p w14:paraId="012654FD" w14:textId="77777777" w:rsidR="00B177FF" w:rsidRDefault="00B177FF" w:rsidP="00B177FF"/>
    <w:p w14:paraId="5FBC7B2E" w14:textId="77777777" w:rsidR="00B177FF" w:rsidRPr="00B177FF" w:rsidRDefault="00B177FF" w:rsidP="00B177FF"/>
    <w:p w14:paraId="2478EAAE" w14:textId="6E869C4D" w:rsidR="0047783A" w:rsidRPr="001A2BC4" w:rsidRDefault="00A633C6" w:rsidP="009956B4">
      <w:pPr>
        <w:pStyle w:val="Heading1"/>
      </w:pPr>
      <w:bookmarkStart w:id="4" w:name="_Toc42488071"/>
      <w:r>
        <w:lastRenderedPageBreak/>
        <w:t>2. Calendrier</w:t>
      </w:r>
      <w:bookmarkEnd w:id="4"/>
    </w:p>
    <w:tbl>
      <w:tblPr>
        <w:tblW w:w="864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2410"/>
        <w:gridCol w:w="2268"/>
      </w:tblGrid>
      <w:tr w:rsidR="004F31A3" w:rsidRPr="004F31A3" w14:paraId="04573CEA" w14:textId="77777777" w:rsidTr="000E73ED">
        <w:tc>
          <w:tcPr>
            <w:tcW w:w="3969" w:type="dxa"/>
            <w:tcBorders>
              <w:bottom w:val="nil"/>
            </w:tcBorders>
          </w:tcPr>
          <w:p w14:paraId="2A177C9A" w14:textId="77777777" w:rsidR="004F31A3" w:rsidRPr="004F31A3" w:rsidRDefault="004F31A3" w:rsidP="004F31A3">
            <w:pPr>
              <w:tabs>
                <w:tab w:val="left" w:pos="851"/>
              </w:tabs>
              <w:jc w:val="both"/>
              <w:rPr>
                <w:rFonts w:ascii="Times New Roman" w:hAnsi="Times New Roman"/>
                <w:b/>
                <w:lang w:val="fr"/>
              </w:rPr>
            </w:pPr>
            <w:bookmarkStart w:id="5" w:name="_Ref500317541"/>
          </w:p>
        </w:tc>
        <w:tc>
          <w:tcPr>
            <w:tcW w:w="2410" w:type="dxa"/>
            <w:shd w:val="clear" w:color="auto" w:fill="E6E6E6"/>
          </w:tcPr>
          <w:p w14:paraId="6213F9A2" w14:textId="2677A368" w:rsidR="004F31A3" w:rsidRPr="004F31A3" w:rsidRDefault="004F31A3" w:rsidP="004F31A3">
            <w:pPr>
              <w:tabs>
                <w:tab w:val="left" w:pos="851"/>
              </w:tabs>
              <w:jc w:val="both"/>
              <w:rPr>
                <w:rFonts w:ascii="Times New Roman" w:hAnsi="Times New Roman"/>
                <w:b/>
                <w:bCs/>
                <w:lang w:val="fr"/>
              </w:rPr>
            </w:pPr>
            <w:r w:rsidRPr="004F31A3">
              <w:rPr>
                <w:rFonts w:ascii="Times New Roman" w:hAnsi="Times New Roman"/>
                <w:b/>
                <w:bCs/>
                <w:lang w:val="fr"/>
              </w:rPr>
              <w:t>DATE</w:t>
            </w:r>
            <w:r w:rsidR="00C95D9C">
              <w:rPr>
                <w:rFonts w:ascii="Times New Roman" w:hAnsi="Times New Roman"/>
                <w:b/>
                <w:bCs/>
                <w:lang w:val="fr"/>
              </w:rPr>
              <w:t>*</w:t>
            </w:r>
          </w:p>
        </w:tc>
        <w:tc>
          <w:tcPr>
            <w:tcW w:w="2268" w:type="dxa"/>
            <w:tcBorders>
              <w:bottom w:val="nil"/>
            </w:tcBorders>
            <w:shd w:val="clear" w:color="auto" w:fill="E6E6E6"/>
          </w:tcPr>
          <w:p w14:paraId="335CA5F3" w14:textId="7B8B34DB" w:rsidR="004F31A3" w:rsidRPr="004F31A3" w:rsidRDefault="004F31A3" w:rsidP="004F31A3">
            <w:pPr>
              <w:tabs>
                <w:tab w:val="left" w:pos="851"/>
              </w:tabs>
              <w:jc w:val="both"/>
              <w:rPr>
                <w:rFonts w:ascii="Times New Roman" w:hAnsi="Times New Roman"/>
                <w:b/>
                <w:bCs/>
                <w:lang w:val="fr"/>
              </w:rPr>
            </w:pPr>
            <w:r w:rsidRPr="004F31A3">
              <w:rPr>
                <w:rFonts w:ascii="Times New Roman" w:hAnsi="Times New Roman"/>
                <w:b/>
                <w:bCs/>
                <w:lang w:val="fr"/>
              </w:rPr>
              <w:t>HEURE</w:t>
            </w:r>
            <w:r w:rsidR="00C95D9C">
              <w:rPr>
                <w:rFonts w:ascii="Times New Roman" w:hAnsi="Times New Roman"/>
                <w:b/>
                <w:bCs/>
                <w:lang w:val="fr"/>
              </w:rPr>
              <w:t>*</w:t>
            </w:r>
            <w:r w:rsidRPr="004F31A3">
              <w:rPr>
                <w:rFonts w:ascii="Times New Roman" w:hAnsi="Times New Roman"/>
                <w:b/>
                <w:bCs/>
                <w:lang w:val="fr"/>
              </w:rPr>
              <w:t>*</w:t>
            </w:r>
          </w:p>
        </w:tc>
      </w:tr>
      <w:tr w:rsidR="004F31A3" w:rsidRPr="004F31A3" w14:paraId="75FD3C90" w14:textId="77777777" w:rsidTr="000E73ED">
        <w:tc>
          <w:tcPr>
            <w:tcW w:w="3969" w:type="dxa"/>
            <w:shd w:val="clear" w:color="auto" w:fill="E6E6E6"/>
          </w:tcPr>
          <w:p w14:paraId="21C8841F" w14:textId="77777777" w:rsidR="004F31A3" w:rsidRPr="004F31A3" w:rsidRDefault="004F31A3" w:rsidP="004F31A3">
            <w:pPr>
              <w:tabs>
                <w:tab w:val="left" w:pos="851"/>
              </w:tabs>
              <w:jc w:val="both"/>
              <w:rPr>
                <w:rFonts w:ascii="Times New Roman" w:hAnsi="Times New Roman"/>
                <w:b/>
                <w:bCs/>
                <w:lang w:val="fr"/>
              </w:rPr>
            </w:pPr>
            <w:r w:rsidRPr="004F31A3">
              <w:rPr>
                <w:rFonts w:ascii="Times New Roman" w:hAnsi="Times New Roman"/>
                <w:b/>
                <w:bCs/>
                <w:lang w:val="fr"/>
              </w:rPr>
              <w:t>Réunion d’information/visite du site (le cas échéant)</w:t>
            </w:r>
          </w:p>
        </w:tc>
        <w:tc>
          <w:tcPr>
            <w:tcW w:w="2410" w:type="dxa"/>
          </w:tcPr>
          <w:p w14:paraId="24816C0F" w14:textId="77777777" w:rsidR="004F31A3" w:rsidRPr="004F31A3" w:rsidRDefault="004F31A3" w:rsidP="004F31A3">
            <w:pPr>
              <w:tabs>
                <w:tab w:val="left" w:pos="851"/>
              </w:tabs>
              <w:jc w:val="both"/>
              <w:rPr>
                <w:rFonts w:ascii="Times New Roman" w:hAnsi="Times New Roman"/>
                <w:b/>
                <w:lang w:val="fr"/>
              </w:rPr>
            </w:pPr>
            <w:r w:rsidRPr="004F31A3">
              <w:rPr>
                <w:rFonts w:ascii="Times New Roman" w:hAnsi="Times New Roman"/>
                <w:b/>
                <w:lang w:val="fr"/>
              </w:rPr>
              <w:t>Sans objet</w:t>
            </w:r>
          </w:p>
        </w:tc>
        <w:tc>
          <w:tcPr>
            <w:tcW w:w="2268" w:type="dxa"/>
          </w:tcPr>
          <w:p w14:paraId="141B4A47" w14:textId="77777777" w:rsidR="004F31A3" w:rsidRPr="004F31A3" w:rsidRDefault="004F31A3" w:rsidP="004F31A3">
            <w:pPr>
              <w:tabs>
                <w:tab w:val="left" w:pos="851"/>
              </w:tabs>
              <w:jc w:val="both"/>
              <w:rPr>
                <w:rFonts w:ascii="Times New Roman" w:hAnsi="Times New Roman"/>
                <w:b/>
                <w:lang w:val="fr"/>
              </w:rPr>
            </w:pPr>
            <w:r w:rsidRPr="004F31A3">
              <w:rPr>
                <w:rFonts w:ascii="Times New Roman" w:hAnsi="Times New Roman"/>
                <w:b/>
                <w:lang w:val="fr"/>
              </w:rPr>
              <w:t>San objet</w:t>
            </w:r>
          </w:p>
        </w:tc>
      </w:tr>
      <w:tr w:rsidR="004F31A3" w:rsidRPr="004F31A3" w14:paraId="196CAB33" w14:textId="77777777" w:rsidTr="000E73ED">
        <w:tc>
          <w:tcPr>
            <w:tcW w:w="3969" w:type="dxa"/>
            <w:shd w:val="clear" w:color="auto" w:fill="E6E6E6"/>
          </w:tcPr>
          <w:p w14:paraId="0F09580D" w14:textId="77777777" w:rsidR="004F31A3" w:rsidRPr="004F31A3" w:rsidRDefault="004F31A3" w:rsidP="004F31A3">
            <w:pPr>
              <w:tabs>
                <w:tab w:val="left" w:pos="851"/>
              </w:tabs>
              <w:jc w:val="both"/>
              <w:rPr>
                <w:rFonts w:ascii="Times New Roman" w:hAnsi="Times New Roman"/>
                <w:b/>
                <w:bCs/>
                <w:lang w:val="fr"/>
              </w:rPr>
            </w:pPr>
            <w:r w:rsidRPr="004F31A3">
              <w:rPr>
                <w:rFonts w:ascii="Times New Roman" w:hAnsi="Times New Roman"/>
                <w:b/>
                <w:bCs/>
                <w:lang w:val="fr"/>
              </w:rPr>
              <w:t>Date limite à laquelle les demandes d’éclaircissements doivent être adressées au pouvoir adjudicateur</w:t>
            </w:r>
          </w:p>
        </w:tc>
        <w:tc>
          <w:tcPr>
            <w:tcW w:w="2410" w:type="dxa"/>
          </w:tcPr>
          <w:p w14:paraId="7483A863" w14:textId="5EAB2BD8" w:rsidR="004F31A3" w:rsidRPr="004F31A3" w:rsidRDefault="00DE5949" w:rsidP="004F31A3">
            <w:pPr>
              <w:tabs>
                <w:tab w:val="left" w:pos="851"/>
              </w:tabs>
              <w:jc w:val="both"/>
              <w:rPr>
                <w:rFonts w:ascii="Times New Roman" w:hAnsi="Times New Roman"/>
                <w:b/>
                <w:lang w:val="fr"/>
              </w:rPr>
            </w:pPr>
            <w:r>
              <w:rPr>
                <w:rFonts w:ascii="Times New Roman" w:hAnsi="Times New Roman"/>
                <w:b/>
                <w:lang w:val="fr"/>
              </w:rPr>
              <w:t>22</w:t>
            </w:r>
            <w:r w:rsidR="009267A0">
              <w:rPr>
                <w:rFonts w:ascii="Times New Roman" w:hAnsi="Times New Roman"/>
                <w:b/>
                <w:lang w:val="fr"/>
              </w:rPr>
              <w:t xml:space="preserve"> mai </w:t>
            </w:r>
            <w:r w:rsidR="004F31A3" w:rsidRPr="004F31A3">
              <w:rPr>
                <w:rFonts w:ascii="Times New Roman" w:hAnsi="Times New Roman"/>
                <w:b/>
                <w:lang w:val="fr"/>
              </w:rPr>
              <w:t>2026</w:t>
            </w:r>
          </w:p>
        </w:tc>
        <w:tc>
          <w:tcPr>
            <w:tcW w:w="2268" w:type="dxa"/>
          </w:tcPr>
          <w:p w14:paraId="79DFCA9C" w14:textId="77777777" w:rsidR="004F31A3" w:rsidRPr="004F31A3" w:rsidRDefault="004F31A3" w:rsidP="004F31A3">
            <w:pPr>
              <w:tabs>
                <w:tab w:val="left" w:pos="851"/>
              </w:tabs>
              <w:jc w:val="both"/>
              <w:rPr>
                <w:rFonts w:ascii="Times New Roman" w:hAnsi="Times New Roman"/>
                <w:b/>
                <w:lang w:val="fr"/>
              </w:rPr>
            </w:pPr>
            <w:r w:rsidRPr="004F31A3">
              <w:rPr>
                <w:rFonts w:ascii="Times New Roman" w:hAnsi="Times New Roman"/>
                <w:b/>
                <w:lang w:val="fr"/>
              </w:rPr>
              <w:t>14h</w:t>
            </w:r>
          </w:p>
        </w:tc>
      </w:tr>
      <w:tr w:rsidR="004F31A3" w:rsidRPr="004F31A3" w14:paraId="454FBEEA" w14:textId="77777777" w:rsidTr="000E73ED">
        <w:tc>
          <w:tcPr>
            <w:tcW w:w="3969" w:type="dxa"/>
            <w:shd w:val="clear" w:color="auto" w:fill="E6E6E6"/>
          </w:tcPr>
          <w:p w14:paraId="78F085FC" w14:textId="77777777" w:rsidR="004F31A3" w:rsidRPr="004F31A3" w:rsidRDefault="004F31A3" w:rsidP="004F31A3">
            <w:pPr>
              <w:tabs>
                <w:tab w:val="left" w:pos="851"/>
              </w:tabs>
              <w:jc w:val="both"/>
              <w:rPr>
                <w:rFonts w:ascii="Times New Roman" w:hAnsi="Times New Roman"/>
                <w:b/>
                <w:bCs/>
                <w:lang w:val="fr"/>
              </w:rPr>
            </w:pPr>
            <w:r w:rsidRPr="004F31A3">
              <w:rPr>
                <w:rFonts w:ascii="Times New Roman" w:hAnsi="Times New Roman"/>
                <w:b/>
                <w:bCs/>
                <w:lang w:val="fr"/>
              </w:rPr>
              <w:t>Date limite à laquelle le pouvoir adjudicateur doit répondre aux demandes d’éclaircissements</w:t>
            </w:r>
          </w:p>
        </w:tc>
        <w:tc>
          <w:tcPr>
            <w:tcW w:w="2410" w:type="dxa"/>
          </w:tcPr>
          <w:p w14:paraId="3E51192C" w14:textId="7A7D469F" w:rsidR="004F31A3" w:rsidRPr="004F31A3" w:rsidRDefault="009267A0" w:rsidP="004F31A3">
            <w:pPr>
              <w:tabs>
                <w:tab w:val="left" w:pos="851"/>
              </w:tabs>
              <w:jc w:val="both"/>
              <w:rPr>
                <w:rFonts w:ascii="Times New Roman" w:hAnsi="Times New Roman"/>
                <w:b/>
                <w:lang w:val="fr"/>
              </w:rPr>
            </w:pPr>
            <w:r>
              <w:rPr>
                <w:rFonts w:ascii="Times New Roman" w:hAnsi="Times New Roman"/>
                <w:b/>
                <w:lang w:val="fr"/>
              </w:rPr>
              <w:t>2</w:t>
            </w:r>
            <w:r w:rsidR="00C06C51">
              <w:rPr>
                <w:rFonts w:ascii="Times New Roman" w:hAnsi="Times New Roman"/>
                <w:b/>
                <w:lang w:val="fr"/>
              </w:rPr>
              <w:t>9</w:t>
            </w:r>
            <w:r w:rsidR="004F31A3" w:rsidRPr="004F31A3">
              <w:rPr>
                <w:rFonts w:ascii="Times New Roman" w:hAnsi="Times New Roman"/>
                <w:b/>
                <w:lang w:val="fr"/>
              </w:rPr>
              <w:t xml:space="preserve"> </w:t>
            </w:r>
            <w:r w:rsidR="000117D3">
              <w:rPr>
                <w:rFonts w:ascii="Times New Roman" w:hAnsi="Times New Roman"/>
                <w:b/>
                <w:lang w:val="fr"/>
              </w:rPr>
              <w:t>mai</w:t>
            </w:r>
            <w:r w:rsidR="004F31A3" w:rsidRPr="004F31A3">
              <w:rPr>
                <w:rFonts w:ascii="Times New Roman" w:hAnsi="Times New Roman"/>
                <w:b/>
                <w:lang w:val="fr"/>
              </w:rPr>
              <w:t xml:space="preserve"> 2026</w:t>
            </w:r>
          </w:p>
        </w:tc>
        <w:tc>
          <w:tcPr>
            <w:tcW w:w="2268" w:type="dxa"/>
          </w:tcPr>
          <w:p w14:paraId="483F73F1" w14:textId="77777777" w:rsidR="004F31A3" w:rsidRPr="004F31A3" w:rsidRDefault="004F31A3" w:rsidP="004F31A3">
            <w:pPr>
              <w:tabs>
                <w:tab w:val="left" w:pos="851"/>
              </w:tabs>
              <w:jc w:val="both"/>
              <w:rPr>
                <w:rFonts w:ascii="Times New Roman" w:hAnsi="Times New Roman"/>
                <w:b/>
                <w:lang w:val="fr"/>
              </w:rPr>
            </w:pPr>
            <w:r w:rsidRPr="004F31A3">
              <w:rPr>
                <w:rFonts w:ascii="Times New Roman" w:hAnsi="Times New Roman"/>
                <w:b/>
                <w:lang w:val="fr"/>
              </w:rPr>
              <w:t>14h</w:t>
            </w:r>
          </w:p>
        </w:tc>
      </w:tr>
      <w:tr w:rsidR="004F31A3" w:rsidRPr="004F31A3" w14:paraId="58EEDDEC" w14:textId="77777777" w:rsidTr="000E73ED">
        <w:tc>
          <w:tcPr>
            <w:tcW w:w="3969" w:type="dxa"/>
            <w:shd w:val="clear" w:color="auto" w:fill="E6E6E6"/>
          </w:tcPr>
          <w:p w14:paraId="1F5BF319" w14:textId="77777777" w:rsidR="004F31A3" w:rsidRPr="004F31A3" w:rsidRDefault="004F31A3" w:rsidP="004F31A3">
            <w:pPr>
              <w:tabs>
                <w:tab w:val="left" w:pos="851"/>
              </w:tabs>
              <w:jc w:val="both"/>
              <w:rPr>
                <w:rFonts w:ascii="Times New Roman" w:hAnsi="Times New Roman"/>
                <w:b/>
                <w:bCs/>
                <w:lang w:val="fr"/>
              </w:rPr>
            </w:pPr>
            <w:r w:rsidRPr="004F31A3">
              <w:rPr>
                <w:rFonts w:ascii="Times New Roman" w:hAnsi="Times New Roman"/>
                <w:b/>
                <w:bCs/>
                <w:lang w:val="fr"/>
              </w:rPr>
              <w:t>Date limite de soumission des offres</w:t>
            </w:r>
          </w:p>
        </w:tc>
        <w:tc>
          <w:tcPr>
            <w:tcW w:w="2410" w:type="dxa"/>
          </w:tcPr>
          <w:p w14:paraId="2589C2A0" w14:textId="43CC8FA8" w:rsidR="004F31A3" w:rsidRPr="004F31A3" w:rsidRDefault="00C06C51" w:rsidP="004F31A3">
            <w:pPr>
              <w:tabs>
                <w:tab w:val="left" w:pos="851"/>
              </w:tabs>
              <w:jc w:val="both"/>
              <w:rPr>
                <w:rFonts w:ascii="Times New Roman" w:hAnsi="Times New Roman"/>
                <w:b/>
                <w:lang w:val="fr"/>
              </w:rPr>
            </w:pPr>
            <w:r>
              <w:rPr>
                <w:rFonts w:ascii="Times New Roman" w:hAnsi="Times New Roman"/>
                <w:b/>
                <w:lang w:val="fr"/>
              </w:rPr>
              <w:t>12</w:t>
            </w:r>
            <w:r w:rsidR="009267A0">
              <w:rPr>
                <w:rFonts w:ascii="Times New Roman" w:hAnsi="Times New Roman"/>
                <w:b/>
                <w:lang w:val="fr"/>
              </w:rPr>
              <w:t xml:space="preserve"> juin </w:t>
            </w:r>
            <w:r w:rsidR="004F31A3" w:rsidRPr="004F31A3">
              <w:rPr>
                <w:rFonts w:ascii="Times New Roman" w:hAnsi="Times New Roman"/>
                <w:b/>
                <w:lang w:val="fr"/>
              </w:rPr>
              <w:t>2026</w:t>
            </w:r>
          </w:p>
        </w:tc>
        <w:tc>
          <w:tcPr>
            <w:tcW w:w="2268" w:type="dxa"/>
          </w:tcPr>
          <w:p w14:paraId="30FC44F9" w14:textId="6D582380" w:rsidR="004F31A3" w:rsidRPr="004F31A3" w:rsidRDefault="004F31A3" w:rsidP="004F31A3">
            <w:pPr>
              <w:tabs>
                <w:tab w:val="left" w:pos="851"/>
              </w:tabs>
              <w:jc w:val="both"/>
              <w:rPr>
                <w:rFonts w:ascii="Times New Roman" w:hAnsi="Times New Roman"/>
                <w:b/>
                <w:lang w:val="fr"/>
              </w:rPr>
            </w:pPr>
            <w:r w:rsidRPr="004F31A3">
              <w:rPr>
                <w:rFonts w:ascii="Times New Roman" w:hAnsi="Times New Roman"/>
                <w:b/>
                <w:lang w:val="fr"/>
              </w:rPr>
              <w:t>1</w:t>
            </w:r>
            <w:r w:rsidR="00D103BA">
              <w:rPr>
                <w:rFonts w:ascii="Times New Roman" w:hAnsi="Times New Roman"/>
                <w:b/>
                <w:lang w:val="fr"/>
              </w:rPr>
              <w:t>2</w:t>
            </w:r>
            <w:r w:rsidRPr="004F31A3">
              <w:rPr>
                <w:rFonts w:ascii="Times New Roman" w:hAnsi="Times New Roman"/>
                <w:b/>
                <w:lang w:val="fr"/>
              </w:rPr>
              <w:t>h</w:t>
            </w:r>
          </w:p>
        </w:tc>
      </w:tr>
      <w:tr w:rsidR="004F31A3" w:rsidRPr="004F31A3" w14:paraId="452429E6" w14:textId="77777777" w:rsidTr="000E73ED">
        <w:tc>
          <w:tcPr>
            <w:tcW w:w="3969" w:type="dxa"/>
            <w:shd w:val="clear" w:color="auto" w:fill="E6E6E6"/>
          </w:tcPr>
          <w:p w14:paraId="5EC47BED" w14:textId="77777777" w:rsidR="004F31A3" w:rsidRPr="004F31A3" w:rsidRDefault="004F31A3" w:rsidP="004F31A3">
            <w:pPr>
              <w:tabs>
                <w:tab w:val="left" w:pos="851"/>
              </w:tabs>
              <w:jc w:val="both"/>
              <w:rPr>
                <w:rFonts w:ascii="Times New Roman" w:hAnsi="Times New Roman"/>
                <w:b/>
                <w:bCs/>
                <w:lang w:val="fr"/>
              </w:rPr>
            </w:pPr>
            <w:r w:rsidRPr="004F31A3">
              <w:rPr>
                <w:rFonts w:ascii="Times New Roman" w:hAnsi="Times New Roman"/>
                <w:b/>
                <w:bCs/>
                <w:lang w:val="fr"/>
              </w:rPr>
              <w:t>Séance d’ouverture des offres</w:t>
            </w:r>
          </w:p>
        </w:tc>
        <w:tc>
          <w:tcPr>
            <w:tcW w:w="2410" w:type="dxa"/>
          </w:tcPr>
          <w:p w14:paraId="32D32118" w14:textId="1B661C7F" w:rsidR="004F31A3" w:rsidRPr="004F31A3" w:rsidRDefault="00C06C51" w:rsidP="004F31A3">
            <w:pPr>
              <w:tabs>
                <w:tab w:val="left" w:pos="851"/>
              </w:tabs>
              <w:jc w:val="both"/>
              <w:rPr>
                <w:rFonts w:ascii="Times New Roman" w:hAnsi="Times New Roman"/>
                <w:b/>
                <w:lang w:val="fr"/>
              </w:rPr>
            </w:pPr>
            <w:r>
              <w:rPr>
                <w:rFonts w:ascii="Times New Roman" w:hAnsi="Times New Roman"/>
                <w:b/>
                <w:lang w:val="fr"/>
              </w:rPr>
              <w:t>15</w:t>
            </w:r>
            <w:r w:rsidR="009267A0">
              <w:rPr>
                <w:rFonts w:ascii="Times New Roman" w:hAnsi="Times New Roman"/>
                <w:b/>
                <w:lang w:val="fr"/>
              </w:rPr>
              <w:t xml:space="preserve"> juin </w:t>
            </w:r>
            <w:r w:rsidR="004F31A3" w:rsidRPr="004F31A3">
              <w:rPr>
                <w:rFonts w:ascii="Times New Roman" w:hAnsi="Times New Roman"/>
                <w:b/>
                <w:lang w:val="fr"/>
              </w:rPr>
              <w:t>2026</w:t>
            </w:r>
          </w:p>
        </w:tc>
        <w:tc>
          <w:tcPr>
            <w:tcW w:w="2268" w:type="dxa"/>
          </w:tcPr>
          <w:p w14:paraId="68A96212" w14:textId="4916FAEF" w:rsidR="004F31A3" w:rsidRPr="004F31A3" w:rsidRDefault="004F31A3" w:rsidP="004F31A3">
            <w:pPr>
              <w:tabs>
                <w:tab w:val="left" w:pos="851"/>
              </w:tabs>
              <w:jc w:val="both"/>
              <w:rPr>
                <w:rFonts w:ascii="Times New Roman" w:hAnsi="Times New Roman"/>
                <w:b/>
                <w:lang w:val="fr"/>
              </w:rPr>
            </w:pPr>
            <w:r w:rsidRPr="004F31A3">
              <w:rPr>
                <w:rFonts w:ascii="Times New Roman" w:hAnsi="Times New Roman"/>
                <w:b/>
                <w:lang w:val="fr"/>
              </w:rPr>
              <w:t>1</w:t>
            </w:r>
            <w:r w:rsidR="00426C0A">
              <w:rPr>
                <w:rFonts w:ascii="Times New Roman" w:hAnsi="Times New Roman"/>
                <w:b/>
                <w:lang w:val="fr"/>
              </w:rPr>
              <w:t>1</w:t>
            </w:r>
            <w:r w:rsidRPr="004F31A3">
              <w:rPr>
                <w:rFonts w:ascii="Times New Roman" w:hAnsi="Times New Roman"/>
                <w:b/>
                <w:lang w:val="fr"/>
              </w:rPr>
              <w:t>h</w:t>
            </w:r>
          </w:p>
        </w:tc>
      </w:tr>
      <w:tr w:rsidR="004F31A3" w:rsidRPr="004F31A3" w14:paraId="6A70353B" w14:textId="77777777" w:rsidTr="000E73ED">
        <w:tc>
          <w:tcPr>
            <w:tcW w:w="3969" w:type="dxa"/>
            <w:shd w:val="clear" w:color="auto" w:fill="E6E6E6"/>
          </w:tcPr>
          <w:p w14:paraId="176842D6" w14:textId="77777777" w:rsidR="004F31A3" w:rsidRPr="004F31A3" w:rsidRDefault="004F31A3" w:rsidP="004F31A3">
            <w:pPr>
              <w:tabs>
                <w:tab w:val="left" w:pos="851"/>
              </w:tabs>
              <w:jc w:val="both"/>
              <w:rPr>
                <w:rFonts w:ascii="Times New Roman" w:hAnsi="Times New Roman"/>
                <w:b/>
                <w:bCs/>
                <w:lang w:val="fr"/>
              </w:rPr>
            </w:pPr>
            <w:r w:rsidRPr="004F31A3">
              <w:rPr>
                <w:rFonts w:ascii="Times New Roman" w:hAnsi="Times New Roman"/>
                <w:b/>
                <w:bCs/>
                <w:lang w:val="fr"/>
              </w:rPr>
              <w:t>Notification de l’attribution à l’attributaire</w:t>
            </w:r>
          </w:p>
        </w:tc>
        <w:tc>
          <w:tcPr>
            <w:tcW w:w="2410" w:type="dxa"/>
          </w:tcPr>
          <w:p w14:paraId="15D8BCE6" w14:textId="258D930B" w:rsidR="004F31A3" w:rsidRPr="004F31A3" w:rsidRDefault="009267A0" w:rsidP="004F31A3">
            <w:pPr>
              <w:tabs>
                <w:tab w:val="left" w:pos="851"/>
              </w:tabs>
              <w:jc w:val="both"/>
              <w:rPr>
                <w:rFonts w:ascii="Times New Roman" w:hAnsi="Times New Roman"/>
                <w:b/>
                <w:lang w:val="fr"/>
              </w:rPr>
            </w:pPr>
            <w:r>
              <w:rPr>
                <w:rFonts w:ascii="Times New Roman" w:hAnsi="Times New Roman"/>
                <w:b/>
                <w:lang w:val="fr"/>
              </w:rPr>
              <w:t>15 juillet</w:t>
            </w:r>
            <w:r w:rsidR="004F31A3" w:rsidRPr="004F31A3">
              <w:rPr>
                <w:rFonts w:ascii="Times New Roman" w:hAnsi="Times New Roman"/>
                <w:b/>
                <w:lang w:val="fr"/>
              </w:rPr>
              <w:t xml:space="preserve"> 2026</w:t>
            </w:r>
          </w:p>
        </w:tc>
        <w:tc>
          <w:tcPr>
            <w:tcW w:w="2268" w:type="dxa"/>
          </w:tcPr>
          <w:p w14:paraId="36D37D07" w14:textId="77777777" w:rsidR="004F31A3" w:rsidRPr="004F31A3" w:rsidRDefault="004F31A3" w:rsidP="004F31A3">
            <w:pPr>
              <w:tabs>
                <w:tab w:val="left" w:pos="851"/>
              </w:tabs>
              <w:jc w:val="both"/>
              <w:rPr>
                <w:rFonts w:ascii="Times New Roman" w:hAnsi="Times New Roman"/>
                <w:b/>
                <w:lang w:val="fr"/>
              </w:rPr>
            </w:pPr>
            <w:r w:rsidRPr="004F31A3">
              <w:rPr>
                <w:rFonts w:ascii="Times New Roman" w:hAnsi="Times New Roman"/>
                <w:b/>
                <w:lang w:val="fr"/>
              </w:rPr>
              <w:t>11h</w:t>
            </w:r>
          </w:p>
        </w:tc>
      </w:tr>
      <w:tr w:rsidR="004F31A3" w:rsidRPr="004F31A3" w14:paraId="79EFEFEC" w14:textId="77777777" w:rsidTr="000E73ED">
        <w:tc>
          <w:tcPr>
            <w:tcW w:w="3969" w:type="dxa"/>
            <w:shd w:val="clear" w:color="auto" w:fill="E6E6E6"/>
          </w:tcPr>
          <w:p w14:paraId="6DB70168" w14:textId="77777777" w:rsidR="004F31A3" w:rsidRPr="004F31A3" w:rsidRDefault="004F31A3" w:rsidP="004F31A3">
            <w:pPr>
              <w:tabs>
                <w:tab w:val="left" w:pos="851"/>
              </w:tabs>
              <w:jc w:val="both"/>
              <w:rPr>
                <w:rFonts w:ascii="Times New Roman" w:hAnsi="Times New Roman"/>
                <w:b/>
                <w:bCs/>
                <w:lang w:val="fr"/>
              </w:rPr>
            </w:pPr>
            <w:r w:rsidRPr="004F31A3">
              <w:rPr>
                <w:rFonts w:ascii="Times New Roman" w:hAnsi="Times New Roman"/>
                <w:b/>
                <w:bCs/>
                <w:lang w:val="fr"/>
              </w:rPr>
              <w:t>Signature du contrat</w:t>
            </w:r>
          </w:p>
        </w:tc>
        <w:tc>
          <w:tcPr>
            <w:tcW w:w="2410" w:type="dxa"/>
          </w:tcPr>
          <w:p w14:paraId="20BDDEFB" w14:textId="6969B4CC" w:rsidR="004F31A3" w:rsidRPr="004F31A3" w:rsidRDefault="009267A0" w:rsidP="004F31A3">
            <w:pPr>
              <w:tabs>
                <w:tab w:val="left" w:pos="851"/>
              </w:tabs>
              <w:jc w:val="both"/>
              <w:rPr>
                <w:rFonts w:ascii="Times New Roman" w:hAnsi="Times New Roman"/>
                <w:b/>
                <w:lang w:val="fr"/>
              </w:rPr>
            </w:pPr>
            <w:r>
              <w:rPr>
                <w:rFonts w:ascii="Times New Roman" w:hAnsi="Times New Roman"/>
                <w:b/>
                <w:lang w:val="fr"/>
              </w:rPr>
              <w:t>31</w:t>
            </w:r>
            <w:r w:rsidR="004F31A3" w:rsidRPr="004F31A3">
              <w:rPr>
                <w:rFonts w:ascii="Times New Roman" w:hAnsi="Times New Roman"/>
                <w:b/>
                <w:lang w:val="fr"/>
              </w:rPr>
              <w:t xml:space="preserve"> jui</w:t>
            </w:r>
            <w:r w:rsidR="00A676C2">
              <w:rPr>
                <w:rFonts w:ascii="Times New Roman" w:hAnsi="Times New Roman"/>
                <w:b/>
                <w:lang w:val="fr"/>
              </w:rPr>
              <w:t>llet</w:t>
            </w:r>
            <w:r w:rsidR="004F31A3" w:rsidRPr="004F31A3">
              <w:rPr>
                <w:rFonts w:ascii="Times New Roman" w:hAnsi="Times New Roman"/>
                <w:b/>
                <w:lang w:val="fr"/>
              </w:rPr>
              <w:t xml:space="preserve"> 2026</w:t>
            </w:r>
          </w:p>
        </w:tc>
        <w:tc>
          <w:tcPr>
            <w:tcW w:w="2268" w:type="dxa"/>
          </w:tcPr>
          <w:p w14:paraId="2F2001C0" w14:textId="77777777" w:rsidR="004F31A3" w:rsidRPr="004F31A3" w:rsidRDefault="004F31A3" w:rsidP="004F31A3">
            <w:pPr>
              <w:tabs>
                <w:tab w:val="left" w:pos="851"/>
              </w:tabs>
              <w:jc w:val="both"/>
              <w:rPr>
                <w:rFonts w:ascii="Times New Roman" w:hAnsi="Times New Roman"/>
                <w:b/>
                <w:lang w:val="fr"/>
              </w:rPr>
            </w:pPr>
            <w:r w:rsidRPr="004F31A3">
              <w:rPr>
                <w:rFonts w:ascii="Times New Roman" w:hAnsi="Times New Roman"/>
                <w:b/>
                <w:lang w:val="fr"/>
              </w:rPr>
              <w:t>-</w:t>
            </w:r>
          </w:p>
        </w:tc>
      </w:tr>
    </w:tbl>
    <w:p w14:paraId="6BA3AFDA" w14:textId="587E3DD9" w:rsidR="00A563CB" w:rsidRPr="00A563CB" w:rsidRDefault="001816D3" w:rsidP="00992060">
      <w:pPr>
        <w:tabs>
          <w:tab w:val="left" w:pos="851"/>
        </w:tabs>
        <w:rPr>
          <w:rFonts w:ascii="Times New Roman" w:hAnsi="Times New Roman"/>
          <w:b/>
          <w:bCs/>
          <w:lang w:val="fr"/>
        </w:rPr>
      </w:pPr>
      <w:r>
        <w:rPr>
          <w:rFonts w:ascii="Times New Roman" w:hAnsi="Times New Roman"/>
          <w:b/>
          <w:bCs/>
          <w:lang w:val="fr"/>
        </w:rPr>
        <w:t xml:space="preserve">* Date provisoire </w:t>
      </w:r>
      <w:r w:rsidR="00A563CB" w:rsidRPr="00A563CB">
        <w:rPr>
          <w:rFonts w:ascii="Times New Roman" w:hAnsi="Times New Roman"/>
          <w:b/>
          <w:bCs/>
          <w:lang w:val="fr"/>
        </w:rPr>
        <w:br/>
        <w:t xml:space="preserve">** </w:t>
      </w:r>
      <w:r w:rsidR="009E6A31" w:rsidRPr="009E6A31">
        <w:rPr>
          <w:rFonts w:ascii="Times New Roman" w:hAnsi="Times New Roman"/>
          <w:b/>
          <w:bCs/>
          <w:lang w:val="fr"/>
        </w:rPr>
        <w:t xml:space="preserve">Toutes les heures correspondent au fuseau horaire du pays du pouvoir adjudicateur </w:t>
      </w:r>
      <w:r w:rsidR="00A563CB" w:rsidRPr="00A563CB">
        <w:rPr>
          <w:rFonts w:ascii="Times New Roman" w:hAnsi="Times New Roman"/>
          <w:b/>
          <w:bCs/>
          <w:lang w:val="fr"/>
        </w:rPr>
        <w:t>Date provisoire</w:t>
      </w:r>
    </w:p>
    <w:p w14:paraId="5848C77C" w14:textId="77777777" w:rsidR="004F31A3" w:rsidRPr="00A563CB" w:rsidRDefault="004F31A3">
      <w:pPr>
        <w:tabs>
          <w:tab w:val="left" w:pos="851"/>
        </w:tabs>
        <w:jc w:val="both"/>
        <w:rPr>
          <w:rFonts w:ascii="Times New Roman" w:hAnsi="Times New Roman"/>
          <w:b/>
          <w:lang w:val="fr"/>
        </w:rPr>
      </w:pPr>
    </w:p>
    <w:p w14:paraId="6B90190C" w14:textId="36589EAA" w:rsidR="00EC4FD6" w:rsidRPr="0042695A" w:rsidRDefault="00A633C6" w:rsidP="009956B4">
      <w:pPr>
        <w:pStyle w:val="Heading1"/>
      </w:pPr>
      <w:bookmarkStart w:id="6" w:name="_Toc42488072"/>
      <w:bookmarkEnd w:id="5"/>
      <w:r>
        <w:t>3. Participation</w:t>
      </w:r>
      <w:bookmarkEnd w:id="6"/>
    </w:p>
    <w:p w14:paraId="1D6939D3" w14:textId="19A2B1EF" w:rsidR="0047783A" w:rsidRPr="007A0C47" w:rsidRDefault="0047783A" w:rsidP="000A5F76">
      <w:pPr>
        <w:pStyle w:val="Heading2"/>
        <w:keepNext w:val="0"/>
        <w:tabs>
          <w:tab w:val="left" w:pos="709"/>
        </w:tabs>
        <w:ind w:left="567" w:hanging="567"/>
        <w:jc w:val="both"/>
        <w:rPr>
          <w:rFonts w:ascii="Times New Roman" w:hAnsi="Times New Roman"/>
          <w:sz w:val="22"/>
        </w:rPr>
      </w:pPr>
      <w:r>
        <w:rPr>
          <w:rFonts w:ascii="Times New Roman" w:hAnsi="Times New Roman"/>
          <w:sz w:val="22"/>
        </w:rPr>
        <w:t>3.1.</w:t>
      </w:r>
      <w:r>
        <w:rPr>
          <w:rFonts w:ascii="Times New Roman" w:hAnsi="Times New Roman"/>
          <w:sz w:val="22"/>
        </w:rPr>
        <w:tab/>
        <w:t>Les conditions d’admissibilité détaillées dans les informations complémentaires concernant l’avis de marché (annexe A5f) ou, le cas échéant, dans l’avis de marché (C2), s’appliquent à tous les membres d’une entreprise commune/d’un consortium, à tous les sous-traitants ainsi qu’à toutes les entités aux capacités desquels le soumissionnaire a recours pour les critères de sélection. Tous les soumissionnaires, tous les membres d’une entreprise commune/d’un consortium, toutes les entités pourvoyeuses de capacités et tous les sous-traitants doivent certifier qu’ils remplissent ces conditions. Ils doivent prouver qu’ils remplissent les conditions d’admissibilité par des documents datés de moins d’un an avant la date limite de soumission des offres, établis conformément à leur droit national ou à la pratique ou par des copies des documents originaux relatifs à leur enregistrement et/ou à leur statut juridique, au lieu de leur enregistrement et/ou à leur siège statutaire ainsi que, s’il est différent, au siège de leur administration centrale. Le pouvoir adjudicateur peut accepter d’autres preuves satisfaisantes indiquant que ces conditions sont remplies.</w:t>
      </w:r>
    </w:p>
    <w:p w14:paraId="68DC0A0C" w14:textId="1190E71B" w:rsidR="0047783A" w:rsidRPr="00E82463" w:rsidRDefault="0047783A" w:rsidP="0047783A">
      <w:pPr>
        <w:pStyle w:val="Heading2"/>
        <w:keepNext w:val="0"/>
        <w:tabs>
          <w:tab w:val="left" w:pos="709"/>
        </w:tabs>
        <w:ind w:left="567" w:hanging="567"/>
        <w:jc w:val="both"/>
        <w:rPr>
          <w:rFonts w:ascii="Times New Roman" w:hAnsi="Times New Roman"/>
          <w:sz w:val="22"/>
        </w:rPr>
      </w:pPr>
      <w:r>
        <w:rPr>
          <w:rFonts w:ascii="Times New Roman" w:hAnsi="Times New Roman"/>
          <w:sz w:val="22"/>
        </w:rPr>
        <w:t>3.2.</w:t>
      </w:r>
      <w:r>
        <w:rPr>
          <w:rFonts w:ascii="Times New Roman" w:hAnsi="Times New Roman"/>
          <w:sz w:val="22"/>
        </w:rPr>
        <w:tab/>
        <w:t xml:space="preserve">Les personnes physiques ou morales qui se trouvent dans une des situations visées aux sections 2.4 (mesures restrictives de l’UE), 2.6.10.1 (critères d’exclusion) ou 2.6.10.1.2 (exclusion d’une procédure) du PRAG ne peuvent ni participer au présent appel d’offres ni se voir attribuer un marché. Si elles participent malgré tout au présent appel d’offres, leur offre sera considérée comme inappropriée ou irrégulière, selon le cas. </w:t>
      </w:r>
      <w:r>
        <w:rPr>
          <w:rFonts w:ascii="Times New Roman" w:hAnsi="Times New Roman"/>
          <w:sz w:val="22"/>
          <w:szCs w:val="22"/>
        </w:rPr>
        <w:t xml:space="preserve">Dans les cas énumérés dans la section 2.6.10.1. </w:t>
      </w:r>
      <w:proofErr w:type="gramStart"/>
      <w:r>
        <w:rPr>
          <w:rFonts w:ascii="Times New Roman" w:hAnsi="Times New Roman"/>
          <w:sz w:val="22"/>
          <w:szCs w:val="22"/>
        </w:rPr>
        <w:t>du</w:t>
      </w:r>
      <w:proofErr w:type="gramEnd"/>
      <w:r>
        <w:rPr>
          <w:rFonts w:ascii="Times New Roman" w:hAnsi="Times New Roman"/>
          <w:sz w:val="22"/>
          <w:szCs w:val="22"/>
        </w:rPr>
        <w:t xml:space="preserve"> PRAG, les soumissionnaires peuvent également être exclus des procédures financées par l’UE et sont passibles de sanctions financières pouvant atteindre 10 % de la valeur totale du marché, conformément au règlement financier en vigueur. Ces informations peuvent être publiées sur le site internet de la Commission, conformément au règlement financier en vigueur.</w:t>
      </w:r>
      <w:r>
        <w:rPr>
          <w:sz w:val="22"/>
          <w:szCs w:val="22"/>
        </w:rPr>
        <w:t xml:space="preserve"> </w:t>
      </w:r>
      <w:r>
        <w:rPr>
          <w:rFonts w:ascii="Times New Roman" w:hAnsi="Times New Roman"/>
          <w:sz w:val="22"/>
        </w:rPr>
        <w:t xml:space="preserve">Les </w:t>
      </w:r>
      <w:r>
        <w:rPr>
          <w:rFonts w:ascii="Times New Roman" w:hAnsi="Times New Roman"/>
          <w:sz w:val="22"/>
        </w:rPr>
        <w:lastRenderedPageBreak/>
        <w:t>soumissionnaires doivent fournir des déclarations sur l’honneur</w:t>
      </w:r>
      <w:r w:rsidR="006B5B42">
        <w:rPr>
          <w:rStyle w:val="FootnoteReference"/>
          <w:rFonts w:ascii="Times New Roman" w:hAnsi="Times New Roman"/>
          <w:sz w:val="22"/>
          <w:lang w:val="en-GB"/>
        </w:rPr>
        <w:footnoteReference w:id="1"/>
      </w:r>
      <w:r>
        <w:rPr>
          <w:rFonts w:ascii="Times New Roman" w:hAnsi="Times New Roman"/>
          <w:sz w:val="22"/>
        </w:rPr>
        <w:t xml:space="preserve"> certifiant qu’ils ne se trouvent dans aucune de ces situations d’exclusion. Ces déclarations doivent être soumises par tous les membres d’une entreprise commune/d’un consortium, par tout sous-traitant et par toute entité pourvoyeuse de capacités. Les soumissionnaires qui se sont rendus coupables de fausses déclarations peuvent en outre être frappés de sanctions financières et d’exclusion, conformément au règlement financier en vigueur. Leur offre sera considérée comme irrégulière.</w:t>
      </w:r>
    </w:p>
    <w:p w14:paraId="5C7A699D" w14:textId="77777777" w:rsidR="0047783A" w:rsidRPr="00E82463" w:rsidRDefault="0047783A" w:rsidP="0047783A">
      <w:pPr>
        <w:pStyle w:val="Heading2"/>
        <w:keepNext w:val="0"/>
        <w:tabs>
          <w:tab w:val="num" w:pos="709"/>
        </w:tabs>
        <w:ind w:left="567"/>
        <w:jc w:val="both"/>
        <w:rPr>
          <w:rFonts w:ascii="Times New Roman" w:hAnsi="Times New Roman"/>
          <w:sz w:val="22"/>
          <w:szCs w:val="22"/>
        </w:rPr>
      </w:pPr>
      <w:r>
        <w:rPr>
          <w:rFonts w:ascii="Times New Roman" w:hAnsi="Times New Roman"/>
          <w:sz w:val="22"/>
        </w:rPr>
        <w:t xml:space="preserve">Les situations d’exclusion visées ci-dessus s’appliquent aussi à tous les membres d’une entreprise commune/d’un consortium, à tous les sous-traitants et à tous les fournisseurs des soumissionnaires, ainsi qu’à toutes les entités aux capacités desquelles le soumissionnaire a recours pour les critères de sélection. </w:t>
      </w:r>
      <w:r>
        <w:rPr>
          <w:rFonts w:ascii="Times New Roman" w:hAnsi="Times New Roman"/>
          <w:sz w:val="22"/>
          <w:szCs w:val="22"/>
        </w:rPr>
        <w:t>En cas de doute à propos de cette déclaration, le pouvoir adjudicateur demandera des pièces justificatives attestant que le sous-traitant et/ou les entités pourvoyeuses de capacités ne se trouvent pas dans une situation d’exclusion.</w:t>
      </w:r>
    </w:p>
    <w:p w14:paraId="5F32A485" w14:textId="7EFEC302"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rPr>
      </w:pPr>
      <w:r>
        <w:rPr>
          <w:rFonts w:ascii="Times New Roman" w:hAnsi="Times New Roman"/>
          <w:sz w:val="22"/>
          <w:szCs w:val="22"/>
        </w:rPr>
        <w:t>3.3.</w:t>
      </w:r>
      <w:r>
        <w:rPr>
          <w:rFonts w:ascii="Times New Roman" w:hAnsi="Times New Roman"/>
          <w:sz w:val="22"/>
          <w:szCs w:val="22"/>
        </w:rPr>
        <w:tab/>
        <w:t>Pour être admis à participer au présent appel d’offres, les soumissionnaires doivent apporter la preuve, à la satisfaction du pouvoir adjudicateur, qu’ils remplissent les conditions juridiques, techniques et financières requises et qu’ils ont les moyens nécessaires pour exécuter le marché d’une manière effective.</w:t>
      </w:r>
    </w:p>
    <w:p w14:paraId="23134A1E" w14:textId="604FDCCA" w:rsidR="0069153C" w:rsidRPr="00A4424B" w:rsidRDefault="0047783A" w:rsidP="004801BB">
      <w:pPr>
        <w:pStyle w:val="Heading2"/>
        <w:tabs>
          <w:tab w:val="num" w:pos="709"/>
          <w:tab w:val="left" w:pos="792"/>
          <w:tab w:val="left" w:pos="8080"/>
        </w:tabs>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t>Le recours à la sous-traitance est autorisé. Le soumissionnaire et, le cas échéant, les entités aux capacités desquelles le soumissionnaire a recours en ce qui concerne les critères relatifs à la capacité économique et financière sont conjointement responsables de l’exécution du marché.</w:t>
      </w:r>
    </w:p>
    <w:p w14:paraId="360F1A5F" w14:textId="4CF95F57" w:rsidR="0047783A" w:rsidRPr="001A2BC4" w:rsidRDefault="00A633C6" w:rsidP="009956B4">
      <w:pPr>
        <w:pStyle w:val="Heading1"/>
      </w:pPr>
      <w:bookmarkStart w:id="7" w:name="_Toc42488073"/>
      <w:r>
        <w:t>4. Origine</w:t>
      </w:r>
      <w:bookmarkEnd w:id="7"/>
    </w:p>
    <w:p w14:paraId="31672B84" w14:textId="11DA22E4" w:rsidR="00A808EF" w:rsidRPr="000C23A8" w:rsidRDefault="000A5F76" w:rsidP="00A808EF">
      <w:pPr>
        <w:pStyle w:val="paragraph"/>
        <w:spacing w:before="0" w:beforeAutospacing="0" w:after="0" w:afterAutospacing="0"/>
        <w:textAlignment w:val="baseline"/>
        <w:rPr>
          <w:rFonts w:ascii="Segoe UI" w:hAnsi="Segoe UI" w:cs="Segoe UI"/>
          <w:sz w:val="18"/>
          <w:szCs w:val="18"/>
        </w:rPr>
      </w:pPr>
      <w:r>
        <w:rPr>
          <w:sz w:val="22"/>
        </w:rPr>
        <w:t xml:space="preserve">4.1 </w:t>
      </w:r>
      <w:r>
        <w:rPr>
          <w:sz w:val="22"/>
        </w:rPr>
        <w:tab/>
      </w:r>
    </w:p>
    <w:p w14:paraId="7F5CB1C5" w14:textId="6C05A7E4" w:rsidR="00D33BE3" w:rsidRPr="004C7F56" w:rsidRDefault="006E5D92" w:rsidP="0063744A">
      <w:pPr>
        <w:ind w:left="567"/>
        <w:jc w:val="both"/>
        <w:rPr>
          <w:rFonts w:ascii="Times New Roman" w:hAnsi="Times New Roman"/>
          <w:sz w:val="22"/>
          <w:szCs w:val="22"/>
        </w:rPr>
      </w:pPr>
      <w:r w:rsidRPr="004C7F56">
        <w:rPr>
          <w:rFonts w:ascii="Times New Roman" w:hAnsi="Times New Roman"/>
          <w:sz w:val="22"/>
          <w:szCs w:val="22"/>
        </w:rPr>
        <w:t>T</w:t>
      </w:r>
      <w:r w:rsidR="00D33BE3" w:rsidRPr="004C7F56">
        <w:rPr>
          <w:rFonts w:ascii="Times New Roman" w:hAnsi="Times New Roman"/>
          <w:sz w:val="22"/>
          <w:szCs w:val="22"/>
        </w:rPr>
        <w:t>outes les fournitures achetées dans le cadre du présent marché doivent provenir d’un ou de plusieurs des pays ci-dessus.]</w:t>
      </w:r>
    </w:p>
    <w:p w14:paraId="43C6843B" w14:textId="7C1B1D37" w:rsidR="004365AD" w:rsidRPr="00E82463" w:rsidRDefault="004365AD" w:rsidP="00E82463">
      <w:pPr>
        <w:pStyle w:val="Heading2"/>
        <w:keepNext w:val="0"/>
        <w:tabs>
          <w:tab w:val="num" w:pos="709"/>
        </w:tabs>
        <w:ind w:left="567"/>
        <w:jc w:val="both"/>
        <w:rPr>
          <w:rFonts w:ascii="Times New Roman" w:hAnsi="Times New Roman"/>
          <w:sz w:val="22"/>
          <w:szCs w:val="22"/>
        </w:rPr>
      </w:pPr>
      <w:r w:rsidRPr="004C7F56">
        <w:rPr>
          <w:rFonts w:ascii="Times New Roman" w:hAnsi="Times New Roman"/>
          <w:sz w:val="22"/>
        </w:rPr>
        <w:t xml:space="preserve">Les soumissionnaires doivent fournir un engagement signé par leur représentant par lequel ils certifient leur conformité à cette exigence. Le soumissionnaire est tenu de s’assurer de l’exactitude des informations fournies. À défaut, il s’expose à une exclusion pour négligence de fausse déclaration. Pour plus de détails, voir la section 2.3.5. </w:t>
      </w:r>
      <w:proofErr w:type="gramStart"/>
      <w:r w:rsidRPr="004C7F56">
        <w:rPr>
          <w:rFonts w:ascii="Times New Roman" w:hAnsi="Times New Roman"/>
          <w:sz w:val="22"/>
        </w:rPr>
        <w:t>du</w:t>
      </w:r>
      <w:proofErr w:type="gramEnd"/>
      <w:r w:rsidRPr="004C7F56">
        <w:rPr>
          <w:rFonts w:ascii="Times New Roman" w:hAnsi="Times New Roman"/>
          <w:sz w:val="22"/>
        </w:rPr>
        <w:t xml:space="preserve"> PRAG.]</w:t>
      </w:r>
    </w:p>
    <w:p w14:paraId="31CBABF1" w14:textId="77777777" w:rsidR="0047783A" w:rsidRDefault="0047783A" w:rsidP="0047783A">
      <w:pPr>
        <w:pStyle w:val="Heading2"/>
        <w:keepNext w:val="0"/>
        <w:ind w:left="567" w:hanging="567"/>
        <w:jc w:val="both"/>
        <w:rPr>
          <w:rFonts w:ascii="Times New Roman" w:hAnsi="Times New Roman"/>
          <w:sz w:val="22"/>
        </w:rPr>
      </w:pPr>
      <w:r>
        <w:rPr>
          <w:rFonts w:ascii="Times New Roman" w:hAnsi="Times New Roman"/>
          <w:sz w:val="22"/>
        </w:rPr>
        <w:t>4.2</w:t>
      </w:r>
      <w:r>
        <w:rPr>
          <w:rFonts w:ascii="Times New Roman" w:hAnsi="Times New Roman"/>
          <w:sz w:val="22"/>
        </w:rPr>
        <w:tab/>
        <w:t>Lorsqu’ils soumettent leur offre, les soumissionnaires doivent déclarer expressément que tous les biens sont conformes aux exigences en matière d’origine et mentionner les pays d’origine. Il peut leur être demandé de fournir des informations complémentaires à cet égard.</w:t>
      </w:r>
    </w:p>
    <w:p w14:paraId="60C6066D" w14:textId="63314A8D" w:rsidR="0047783A" w:rsidRPr="001A2BC4" w:rsidRDefault="00A633C6" w:rsidP="009956B4">
      <w:pPr>
        <w:pStyle w:val="Heading1"/>
      </w:pPr>
      <w:bookmarkStart w:id="8" w:name="_Toc42488074"/>
      <w:r>
        <w:t>5. Type de marché</w:t>
      </w:r>
      <w:bookmarkEnd w:id="8"/>
    </w:p>
    <w:p w14:paraId="47312E77" w14:textId="3C029A7F" w:rsidR="000470C1" w:rsidRPr="000470C1" w:rsidRDefault="000470C1" w:rsidP="000470C1">
      <w:pPr>
        <w:pStyle w:val="Heading2"/>
        <w:jc w:val="both"/>
        <w:rPr>
          <w:rFonts w:ascii="Times New Roman" w:hAnsi="Times New Roman"/>
          <w:sz w:val="22"/>
          <w:lang w:val="fr"/>
        </w:rPr>
      </w:pPr>
      <w:r w:rsidRPr="000470C1">
        <w:rPr>
          <w:rFonts w:ascii="Times New Roman" w:hAnsi="Times New Roman"/>
          <w:sz w:val="22"/>
          <w:lang w:val="fr"/>
        </w:rPr>
        <w:t xml:space="preserve">  </w:t>
      </w:r>
      <w:r w:rsidR="00864B73">
        <w:rPr>
          <w:rFonts w:ascii="Times New Roman" w:hAnsi="Times New Roman"/>
          <w:sz w:val="22"/>
          <w:lang w:val="fr"/>
        </w:rPr>
        <w:tab/>
      </w:r>
      <w:r w:rsidRPr="000470C1">
        <w:rPr>
          <w:rFonts w:ascii="Times New Roman" w:hAnsi="Times New Roman"/>
          <w:sz w:val="22"/>
          <w:lang w:val="fr"/>
        </w:rPr>
        <w:t>Le présent marché est à prix unitaire</w:t>
      </w:r>
    </w:p>
    <w:p w14:paraId="752C7A3B" w14:textId="56AFA5FE" w:rsidR="0047783A" w:rsidRPr="001A2BC4" w:rsidRDefault="00A633C6" w:rsidP="009956B4">
      <w:pPr>
        <w:pStyle w:val="Heading1"/>
      </w:pPr>
      <w:bookmarkStart w:id="9" w:name="_Toc42488075"/>
      <w:r>
        <w:t>6. Monnaie</w:t>
      </w:r>
      <w:bookmarkEnd w:id="9"/>
    </w:p>
    <w:p w14:paraId="465A230B" w14:textId="537E6F27" w:rsidR="0047783A" w:rsidRPr="00E82463" w:rsidRDefault="0047783A" w:rsidP="0047783A">
      <w:pPr>
        <w:pStyle w:val="Heading2"/>
        <w:keepNext w:val="0"/>
        <w:ind w:left="567"/>
        <w:jc w:val="both"/>
        <w:rPr>
          <w:rFonts w:ascii="Times New Roman" w:hAnsi="Times New Roman"/>
          <w:sz w:val="22"/>
        </w:rPr>
      </w:pPr>
      <w:r>
        <w:rPr>
          <w:rFonts w:ascii="Times New Roman" w:hAnsi="Times New Roman"/>
          <w:sz w:val="22"/>
          <w:szCs w:val="22"/>
        </w:rPr>
        <w:t>Les offres doivent être libellées en</w:t>
      </w:r>
      <w:r>
        <w:rPr>
          <w:rFonts w:ascii="Times New Roman" w:hAnsi="Times New Roman"/>
          <w:bCs/>
          <w:sz w:val="22"/>
          <w:szCs w:val="22"/>
        </w:rPr>
        <w:t xml:space="preserve"> </w:t>
      </w:r>
      <w:r w:rsidR="009267A0">
        <w:rPr>
          <w:rFonts w:ascii="Times New Roman" w:hAnsi="Times New Roman"/>
          <w:bCs/>
          <w:sz w:val="22"/>
          <w:szCs w:val="22"/>
        </w:rPr>
        <w:t>gourdes haïtiennes (HTG)</w:t>
      </w:r>
      <w:r w:rsidRPr="00E82463">
        <w:rPr>
          <w:rStyle w:val="FootnoteReference"/>
          <w:rFonts w:ascii="Times New Roman" w:hAnsi="Times New Roman"/>
          <w:sz w:val="22"/>
          <w:lang w:val="en-GB"/>
        </w:rPr>
        <w:footnoteReference w:id="2"/>
      </w:r>
      <w:r>
        <w:rPr>
          <w:rFonts w:ascii="Times New Roman" w:hAnsi="Times New Roman"/>
          <w:sz w:val="22"/>
        </w:rPr>
        <w:t>.</w:t>
      </w:r>
    </w:p>
    <w:p w14:paraId="0AFF2F59" w14:textId="6E877222" w:rsidR="0047783A" w:rsidRPr="001A2BC4" w:rsidRDefault="00A633C6" w:rsidP="009956B4">
      <w:pPr>
        <w:pStyle w:val="Heading1"/>
      </w:pPr>
      <w:bookmarkStart w:id="10" w:name="_Toc42488076"/>
      <w:r>
        <w:lastRenderedPageBreak/>
        <w:t>7. Lots</w:t>
      </w:r>
      <w:bookmarkEnd w:id="10"/>
    </w:p>
    <w:p w14:paraId="67DB3BD4" w14:textId="347B1D5C" w:rsidR="0047783A" w:rsidRPr="00E82463" w:rsidRDefault="0047783A" w:rsidP="00E82463">
      <w:pPr>
        <w:ind w:left="567"/>
        <w:jc w:val="both"/>
        <w:rPr>
          <w:rFonts w:ascii="Times New Roman" w:hAnsi="Times New Roman"/>
          <w:sz w:val="22"/>
        </w:rPr>
      </w:pPr>
      <w:r w:rsidRPr="009267A0">
        <w:rPr>
          <w:rFonts w:ascii="Times New Roman" w:hAnsi="Times New Roman"/>
          <w:sz w:val="22"/>
        </w:rPr>
        <w:t>Le présent appel d’offres n’est pas divisé en lots.</w:t>
      </w:r>
    </w:p>
    <w:p w14:paraId="6D535022" w14:textId="71C8CD35" w:rsidR="0047783A" w:rsidRPr="001A2BC4" w:rsidRDefault="00A633C6" w:rsidP="009956B4">
      <w:pPr>
        <w:pStyle w:val="Heading1"/>
      </w:pPr>
      <w:bookmarkStart w:id="11" w:name="_Toc42488077"/>
      <w:r>
        <w:t>8. Période de validité</w:t>
      </w:r>
      <w:bookmarkEnd w:id="11"/>
    </w:p>
    <w:p w14:paraId="30360BC8" w14:textId="77777777" w:rsidR="0047783A" w:rsidRPr="00E82463" w:rsidRDefault="0047783A" w:rsidP="0047783A">
      <w:pPr>
        <w:pStyle w:val="Heading2"/>
        <w:keepNext w:val="0"/>
        <w:tabs>
          <w:tab w:val="num" w:pos="567"/>
        </w:tabs>
        <w:ind w:left="567" w:hanging="567"/>
        <w:jc w:val="both"/>
        <w:rPr>
          <w:rFonts w:ascii="Times New Roman" w:hAnsi="Times New Roman"/>
          <w:sz w:val="22"/>
        </w:rPr>
      </w:pPr>
      <w:r>
        <w:rPr>
          <w:rFonts w:ascii="Times New Roman" w:hAnsi="Times New Roman"/>
          <w:sz w:val="22"/>
        </w:rPr>
        <w:t>8.1</w:t>
      </w:r>
      <w:r>
        <w:rPr>
          <w:rFonts w:ascii="Times New Roman" w:hAnsi="Times New Roman"/>
          <w:sz w:val="22"/>
        </w:rPr>
        <w:tab/>
        <w:t>Les soumissionnaires restent liés par leur offre pendant une période de 90 jours à compter de la date limite de soumission des offres.</w:t>
      </w:r>
    </w:p>
    <w:p w14:paraId="246ED2FF" w14:textId="77777777" w:rsidR="0047783A" w:rsidRPr="00E66FD7" w:rsidRDefault="0047783A" w:rsidP="0047783A">
      <w:pPr>
        <w:pStyle w:val="Heading2"/>
        <w:keepNext w:val="0"/>
        <w:tabs>
          <w:tab w:val="num" w:pos="567"/>
        </w:tabs>
        <w:ind w:left="567" w:hanging="567"/>
        <w:jc w:val="both"/>
        <w:rPr>
          <w:rFonts w:ascii="Times New Roman" w:hAnsi="Times New Roman"/>
          <w:sz w:val="22"/>
        </w:rPr>
      </w:pPr>
      <w:r>
        <w:rPr>
          <w:rFonts w:ascii="Times New Roman" w:hAnsi="Times New Roman"/>
          <w:sz w:val="22"/>
        </w:rPr>
        <w:t>8.2</w:t>
      </w:r>
      <w:r>
        <w:rPr>
          <w:rFonts w:ascii="Times New Roman" w:hAnsi="Times New Roman"/>
          <w:sz w:val="22"/>
        </w:rPr>
        <w:tab/>
        <w:t>Dans des cas exceptionnels et avant l’expiration de la période initiale de validité de l’offre, le pouvoir adjudicateur peut demander par écrit aux soumissionnaires de prolonger cette période de 40 jours. Ces demandes et les réponses à ces dernières doivent être faites par écrit. Les soumissionnaires qui acceptent de prolonger la période de validité de leur offre ne seront pas autorisés à modifier leur offre et sont tenus de prolonger la validité de leur garantie de soumission afin de couvrir la période de validité révisée de l’offre. En cas de refus, leur participation à l’appel d’offres prend fin sans qu’ils perdent leur garantie de soumission. Lorsque le pouvoir adjudicateur est tenu d’obtenir la recommandation de l’instance visée dans la section 2.6.10.1.1 du PRAG, il peut demander, avant que celle-ci n’expire, que la période de validité des offres soit prolongée jusqu’à l’adoption de cette recommandation.</w:t>
      </w:r>
    </w:p>
    <w:p w14:paraId="4AA14439" w14:textId="77777777" w:rsidR="0047783A" w:rsidRPr="00E82463" w:rsidRDefault="0047783A" w:rsidP="00AC07D4">
      <w:pPr>
        <w:tabs>
          <w:tab w:val="num" w:pos="567"/>
        </w:tabs>
        <w:ind w:left="567" w:hanging="567"/>
        <w:jc w:val="both"/>
        <w:rPr>
          <w:rFonts w:ascii="Times New Roman" w:hAnsi="Times New Roman"/>
        </w:rPr>
      </w:pPr>
      <w:r>
        <w:rPr>
          <w:rFonts w:ascii="Times New Roman" w:hAnsi="Times New Roman"/>
          <w:sz w:val="22"/>
          <w:szCs w:val="22"/>
        </w:rPr>
        <w:t>8.3</w:t>
      </w:r>
      <w:r>
        <w:rPr>
          <w:rFonts w:ascii="Times New Roman" w:hAnsi="Times New Roman"/>
          <w:sz w:val="22"/>
          <w:szCs w:val="22"/>
        </w:rPr>
        <w:tab/>
        <w:t>L’attributaire reste engagé par son offre pendant une période supplémentaire de 60 jours. La période supplémentaire est ajoutée à</w:t>
      </w:r>
      <w:r>
        <w:rPr>
          <w:rFonts w:ascii="Times New Roman" w:hAnsi="Times New Roman"/>
          <w:sz w:val="22"/>
        </w:rPr>
        <w:t xml:space="preserve"> la période de validité de </w:t>
      </w:r>
      <w:r>
        <w:rPr>
          <w:rFonts w:ascii="Times New Roman" w:hAnsi="Times New Roman"/>
          <w:sz w:val="22"/>
          <w:szCs w:val="22"/>
        </w:rPr>
        <w:t>l’offre</w:t>
      </w:r>
      <w:r>
        <w:rPr>
          <w:rFonts w:ascii="Times New Roman" w:hAnsi="Times New Roman"/>
          <w:sz w:val="22"/>
        </w:rPr>
        <w:t>, quelle que soit la date de notification.</w:t>
      </w:r>
    </w:p>
    <w:p w14:paraId="27C31267" w14:textId="562313E7" w:rsidR="0047783A" w:rsidRPr="001A2BC4" w:rsidRDefault="00A633C6" w:rsidP="009956B4">
      <w:pPr>
        <w:pStyle w:val="Heading1"/>
      </w:pPr>
      <w:bookmarkStart w:id="12" w:name="_Ref500330462"/>
      <w:r>
        <w:t xml:space="preserve">9. </w:t>
      </w:r>
      <w:bookmarkStart w:id="13" w:name="_Toc42488078"/>
      <w:r>
        <w:t>Langue des</w:t>
      </w:r>
      <w:bookmarkEnd w:id="13"/>
      <w:r>
        <w:t xml:space="preserve"> offres</w:t>
      </w:r>
    </w:p>
    <w:bookmarkEnd w:id="12"/>
    <w:p w14:paraId="01A5CF24" w14:textId="77777777" w:rsidR="0047783A" w:rsidRPr="00E82463" w:rsidRDefault="0047783A" w:rsidP="0047783A">
      <w:pPr>
        <w:pStyle w:val="Heading2"/>
        <w:keepNext w:val="0"/>
        <w:ind w:left="567" w:hanging="567"/>
        <w:jc w:val="both"/>
        <w:rPr>
          <w:rFonts w:ascii="Times New Roman" w:hAnsi="Times New Roman"/>
          <w:sz w:val="22"/>
        </w:rPr>
      </w:pPr>
      <w:r>
        <w:rPr>
          <w:rFonts w:ascii="Times New Roman" w:hAnsi="Times New Roman"/>
          <w:sz w:val="22"/>
        </w:rPr>
        <w:t>9.1</w:t>
      </w:r>
      <w:r>
        <w:rPr>
          <w:rFonts w:ascii="Times New Roman" w:hAnsi="Times New Roman"/>
          <w:sz w:val="22"/>
        </w:rPr>
        <w:tab/>
        <w:t xml:space="preserve">Les offres, la correspondance et les documents associés </w:t>
      </w:r>
      <w:proofErr w:type="gramStart"/>
      <w:r>
        <w:rPr>
          <w:rFonts w:ascii="Times New Roman" w:hAnsi="Times New Roman"/>
          <w:sz w:val="22"/>
        </w:rPr>
        <w:t>aux offres échangés</w:t>
      </w:r>
      <w:proofErr w:type="gramEnd"/>
      <w:r>
        <w:rPr>
          <w:rFonts w:ascii="Times New Roman" w:hAnsi="Times New Roman"/>
          <w:sz w:val="22"/>
        </w:rPr>
        <w:t xml:space="preserve"> entre le soumissionnaire et le pouvoir adjudicateur doivent être rédigés dans la langue de la procédure, à savoir le français.</w:t>
      </w:r>
    </w:p>
    <w:p w14:paraId="510843C3" w14:textId="77777777" w:rsidR="0047783A" w:rsidRPr="00E82463" w:rsidRDefault="0047783A" w:rsidP="0047783A">
      <w:pPr>
        <w:pStyle w:val="Heading2"/>
        <w:keepNext w:val="0"/>
        <w:ind w:left="567"/>
        <w:jc w:val="both"/>
        <w:rPr>
          <w:rFonts w:ascii="Times New Roman" w:hAnsi="Times New Roman"/>
          <w:sz w:val="22"/>
        </w:rPr>
      </w:pPr>
      <w:r>
        <w:rPr>
          <w:rFonts w:ascii="Times New Roman" w:hAnsi="Times New Roman"/>
          <w:sz w:val="22"/>
        </w:rPr>
        <w:t>Si les pièces justificatives ne sont pas rédigées dans l’une des langues officielles de l’Union européenne, une traduction dans la langue de l’appel d’offres doit être jointe. Lorsque les documents sont rédigés dans une langue officielle de l’Union européenne autre que le français, il est vivement recommandé de fournir une traduction en français afin de faciliter leur évaluation.</w:t>
      </w:r>
    </w:p>
    <w:p w14:paraId="451C65B5" w14:textId="489964BE" w:rsidR="0047783A" w:rsidRPr="001A2BC4" w:rsidRDefault="00A633C6" w:rsidP="009956B4">
      <w:pPr>
        <w:pStyle w:val="Heading1"/>
      </w:pPr>
      <w:bookmarkStart w:id="14" w:name="_Toc42488079"/>
      <w:r>
        <w:t>10. Soumission des offres</w:t>
      </w:r>
      <w:bookmarkEnd w:id="14"/>
    </w:p>
    <w:p w14:paraId="2DA45DFB" w14:textId="2FD6B2EC" w:rsidR="00D85561" w:rsidRPr="001A2BC4" w:rsidRDefault="0047783A" w:rsidP="009D5CB2">
      <w:pPr>
        <w:ind w:left="567" w:hanging="567"/>
      </w:pPr>
      <w:bookmarkStart w:id="15" w:name="_Ref500326737"/>
      <w:r>
        <w:rPr>
          <w:rFonts w:ascii="Times New Roman" w:hAnsi="Times New Roman"/>
          <w:sz w:val="22"/>
        </w:rPr>
        <w:t xml:space="preserve">10.1 </w:t>
      </w:r>
      <w:r w:rsidR="00675524">
        <w:rPr>
          <w:rFonts w:ascii="Times New Roman" w:hAnsi="Times New Roman"/>
          <w:sz w:val="22"/>
        </w:rPr>
        <w:t>Soumission papier</w:t>
      </w:r>
    </w:p>
    <w:p w14:paraId="6D76BC33" w14:textId="0C8473DB" w:rsidR="0047783A" w:rsidRPr="009F7171" w:rsidRDefault="00F953EB" w:rsidP="002421ED">
      <w:pPr>
        <w:pStyle w:val="Heading2"/>
        <w:keepNext w:val="0"/>
        <w:ind w:left="567" w:hanging="567"/>
        <w:jc w:val="both"/>
        <w:rPr>
          <w:rFonts w:ascii="Times New Roman" w:hAnsi="Times New Roman"/>
          <w:sz w:val="22"/>
        </w:rPr>
      </w:pPr>
      <w:r>
        <w:rPr>
          <w:rFonts w:ascii="Times New Roman" w:hAnsi="Times New Roman"/>
          <w:sz w:val="22"/>
        </w:rPr>
        <w:tab/>
      </w:r>
      <w:r w:rsidR="0047783A" w:rsidRPr="009F7171">
        <w:rPr>
          <w:rFonts w:ascii="Times New Roman" w:hAnsi="Times New Roman"/>
          <w:b/>
          <w:sz w:val="22"/>
        </w:rPr>
        <w:t>Les offres doivent être envoyées au pouvoir adjudicateur avant la date limite indiquée dans l’avis de marché.</w:t>
      </w:r>
      <w:r w:rsidR="0047783A" w:rsidRPr="009F7171">
        <w:rPr>
          <w:rFonts w:ascii="Times New Roman" w:hAnsi="Times New Roman"/>
          <w:sz w:val="22"/>
        </w:rPr>
        <w:t xml:space="preserve"> Elles doivent comporter tous les documents spécifiés au point 11 des présentes instructions et être envoyées à l’adresse </w:t>
      </w:r>
      <w:proofErr w:type="gramStart"/>
      <w:r w:rsidR="0047783A" w:rsidRPr="009F7171">
        <w:rPr>
          <w:rFonts w:ascii="Times New Roman" w:hAnsi="Times New Roman"/>
          <w:sz w:val="22"/>
        </w:rPr>
        <w:t>suivante:</w:t>
      </w:r>
      <w:proofErr w:type="gramEnd"/>
    </w:p>
    <w:bookmarkEnd w:id="15"/>
    <w:p w14:paraId="43A20C1D" w14:textId="77777777" w:rsidR="003B6736" w:rsidRPr="003B6736" w:rsidRDefault="003B6736" w:rsidP="003B6736">
      <w:pPr>
        <w:widowControl w:val="0"/>
        <w:spacing w:before="100" w:after="100"/>
        <w:ind w:left="720" w:right="1"/>
        <w:jc w:val="both"/>
        <w:rPr>
          <w:rFonts w:ascii="Times New Roman" w:hAnsi="Times New Roman"/>
          <w:b/>
          <w:bCs/>
          <w:snapToGrid/>
          <w:sz w:val="22"/>
          <w:szCs w:val="22"/>
          <w:lang w:val="fr"/>
        </w:rPr>
      </w:pPr>
      <w:r w:rsidRPr="003B6736">
        <w:rPr>
          <w:rFonts w:ascii="Times New Roman" w:hAnsi="Times New Roman"/>
          <w:b/>
          <w:bCs/>
          <w:snapToGrid/>
          <w:sz w:val="22"/>
          <w:szCs w:val="22"/>
          <w:lang w:val="fr"/>
        </w:rPr>
        <w:t xml:space="preserve">La Régie du Projet de Renforcement de la Gouvernance Intersectorielle de la SAN au niveau national et départemental (Nord-Ouest, </w:t>
      </w:r>
      <w:proofErr w:type="spellStart"/>
      <w:r w:rsidRPr="003B6736">
        <w:rPr>
          <w:rFonts w:ascii="Times New Roman" w:hAnsi="Times New Roman"/>
          <w:b/>
          <w:bCs/>
          <w:snapToGrid/>
          <w:sz w:val="22"/>
          <w:szCs w:val="22"/>
          <w:lang w:val="fr"/>
        </w:rPr>
        <w:t>Nord-EST</w:t>
      </w:r>
      <w:proofErr w:type="spellEnd"/>
      <w:r w:rsidRPr="003B6736">
        <w:rPr>
          <w:rFonts w:ascii="Times New Roman" w:hAnsi="Times New Roman"/>
          <w:b/>
          <w:bCs/>
          <w:snapToGrid/>
          <w:sz w:val="22"/>
          <w:szCs w:val="22"/>
          <w:lang w:val="fr"/>
        </w:rPr>
        <w:t>, ZMPAP et Haut Artibonite)</w:t>
      </w:r>
    </w:p>
    <w:p w14:paraId="3AB792DF" w14:textId="3D804896" w:rsidR="003B6736" w:rsidRPr="003B6736" w:rsidRDefault="003B6736" w:rsidP="003B6736">
      <w:pPr>
        <w:widowControl w:val="0"/>
        <w:spacing w:before="100" w:after="100"/>
        <w:jc w:val="center"/>
        <w:rPr>
          <w:rFonts w:ascii="Times New Roman" w:hAnsi="Times New Roman"/>
          <w:b/>
          <w:bCs/>
          <w:snapToGrid/>
          <w:sz w:val="22"/>
          <w:szCs w:val="22"/>
          <w:lang w:val="fr"/>
        </w:rPr>
      </w:pPr>
      <w:r w:rsidRPr="003B6736">
        <w:rPr>
          <w:rFonts w:ascii="Times New Roman" w:hAnsi="Times New Roman"/>
          <w:b/>
          <w:bCs/>
          <w:snapToGrid/>
          <w:sz w:val="22"/>
          <w:szCs w:val="22"/>
          <w:lang w:val="fr"/>
        </w:rPr>
        <w:t xml:space="preserve">A l’attention de </w:t>
      </w:r>
      <w:r w:rsidR="00DC3CEE">
        <w:rPr>
          <w:rFonts w:ascii="Times New Roman" w:hAnsi="Times New Roman"/>
          <w:b/>
          <w:bCs/>
          <w:snapToGrid/>
          <w:sz w:val="22"/>
          <w:szCs w:val="22"/>
          <w:lang w:val="fr"/>
        </w:rPr>
        <w:t>BONFED/PMSAN</w:t>
      </w:r>
      <w:r w:rsidR="00D42D7D">
        <w:rPr>
          <w:rFonts w:ascii="Times New Roman" w:hAnsi="Times New Roman"/>
          <w:b/>
          <w:bCs/>
          <w:snapToGrid/>
          <w:sz w:val="22"/>
          <w:szCs w:val="22"/>
          <w:lang w:val="fr"/>
        </w:rPr>
        <w:t xml:space="preserve"> II</w:t>
      </w:r>
    </w:p>
    <w:p w14:paraId="2F8A42CA" w14:textId="77777777" w:rsidR="003B6736" w:rsidRPr="003B6736" w:rsidRDefault="003B6736" w:rsidP="003B6736">
      <w:pPr>
        <w:widowControl w:val="0"/>
        <w:spacing w:before="100" w:after="100"/>
        <w:ind w:left="360" w:firstLine="360"/>
        <w:jc w:val="center"/>
        <w:rPr>
          <w:rFonts w:ascii="Times New Roman" w:hAnsi="Times New Roman"/>
          <w:b/>
          <w:bCs/>
          <w:snapToGrid/>
          <w:sz w:val="22"/>
          <w:szCs w:val="22"/>
          <w:lang w:val="fr"/>
        </w:rPr>
      </w:pPr>
      <w:r w:rsidRPr="003B6736">
        <w:rPr>
          <w:rFonts w:ascii="Times New Roman" w:hAnsi="Times New Roman"/>
          <w:b/>
          <w:bCs/>
          <w:snapToGrid/>
          <w:sz w:val="22"/>
          <w:szCs w:val="22"/>
          <w:lang w:val="fr"/>
        </w:rPr>
        <w:t>19, Rue Pinchinat, Petion-Vill, Haïti</w:t>
      </w:r>
    </w:p>
    <w:p w14:paraId="663107B0" w14:textId="77777777" w:rsidR="003B6736" w:rsidRPr="003B6736" w:rsidRDefault="003B6736" w:rsidP="003B6736">
      <w:pPr>
        <w:widowControl w:val="0"/>
        <w:pBdr>
          <w:top w:val="nil"/>
          <w:left w:val="nil"/>
          <w:bottom w:val="nil"/>
          <w:right w:val="nil"/>
          <w:between w:val="nil"/>
        </w:pBdr>
        <w:spacing w:before="0" w:after="0"/>
        <w:ind w:left="720"/>
        <w:jc w:val="center"/>
        <w:rPr>
          <w:rFonts w:ascii="Times New Roman" w:hAnsi="Times New Roman"/>
          <w:b/>
          <w:bCs/>
          <w:snapToGrid/>
          <w:color w:val="000000"/>
          <w:sz w:val="22"/>
          <w:szCs w:val="22"/>
          <w:lang w:val="fr"/>
        </w:rPr>
      </w:pPr>
      <w:r w:rsidRPr="003B6736">
        <w:rPr>
          <w:rFonts w:ascii="Times New Roman" w:hAnsi="Times New Roman"/>
          <w:b/>
          <w:bCs/>
          <w:snapToGrid/>
          <w:color w:val="000000"/>
          <w:sz w:val="22"/>
          <w:szCs w:val="22"/>
          <w:lang w:val="fr"/>
        </w:rPr>
        <w:t>Téléphone : (+509) 34553301</w:t>
      </w:r>
    </w:p>
    <w:p w14:paraId="5DFDEA99" w14:textId="77777777" w:rsidR="0047783A" w:rsidRPr="009F7171" w:rsidRDefault="0047783A" w:rsidP="000D1B17">
      <w:pPr>
        <w:ind w:left="567"/>
        <w:jc w:val="both"/>
        <w:rPr>
          <w:rFonts w:ascii="Times New Roman" w:hAnsi="Times New Roman"/>
          <w:sz w:val="22"/>
        </w:rPr>
      </w:pPr>
      <w:r w:rsidRPr="009F7171">
        <w:rPr>
          <w:rFonts w:ascii="Times New Roman" w:hAnsi="Times New Roman"/>
          <w:sz w:val="22"/>
        </w:rPr>
        <w:t xml:space="preserve">Si les offres sont remises en main propre, elles doivent l’être à l’adresse </w:t>
      </w:r>
      <w:proofErr w:type="gramStart"/>
      <w:r w:rsidRPr="009F7171">
        <w:rPr>
          <w:rFonts w:ascii="Times New Roman" w:hAnsi="Times New Roman"/>
          <w:sz w:val="22"/>
        </w:rPr>
        <w:t>suivante:</w:t>
      </w:r>
      <w:proofErr w:type="gramEnd"/>
    </w:p>
    <w:p w14:paraId="6775A47E" w14:textId="77777777" w:rsidR="00734020" w:rsidRPr="003B6736" w:rsidRDefault="00734020" w:rsidP="00734020">
      <w:pPr>
        <w:widowControl w:val="0"/>
        <w:spacing w:before="100" w:after="100"/>
        <w:jc w:val="center"/>
        <w:rPr>
          <w:rFonts w:ascii="Times New Roman" w:hAnsi="Times New Roman"/>
          <w:b/>
          <w:bCs/>
          <w:snapToGrid/>
          <w:sz w:val="22"/>
          <w:szCs w:val="22"/>
          <w:lang w:val="fr"/>
        </w:rPr>
      </w:pPr>
      <w:r w:rsidRPr="003B6736">
        <w:rPr>
          <w:rFonts w:ascii="Times New Roman" w:hAnsi="Times New Roman"/>
          <w:b/>
          <w:bCs/>
          <w:snapToGrid/>
          <w:sz w:val="22"/>
          <w:szCs w:val="22"/>
          <w:lang w:val="fr"/>
        </w:rPr>
        <w:lastRenderedPageBreak/>
        <w:t xml:space="preserve">A l’attention de </w:t>
      </w:r>
      <w:r>
        <w:rPr>
          <w:rFonts w:ascii="Times New Roman" w:hAnsi="Times New Roman"/>
          <w:b/>
          <w:bCs/>
          <w:snapToGrid/>
          <w:sz w:val="22"/>
          <w:szCs w:val="22"/>
          <w:lang w:val="fr"/>
        </w:rPr>
        <w:t>BONFED/PMSAN II</w:t>
      </w:r>
    </w:p>
    <w:p w14:paraId="2734590E" w14:textId="77777777" w:rsidR="00734020" w:rsidRPr="003B6736" w:rsidRDefault="00734020" w:rsidP="00734020">
      <w:pPr>
        <w:widowControl w:val="0"/>
        <w:spacing w:before="100" w:after="100"/>
        <w:ind w:left="360" w:firstLine="360"/>
        <w:jc w:val="center"/>
        <w:rPr>
          <w:rFonts w:ascii="Times New Roman" w:hAnsi="Times New Roman"/>
          <w:b/>
          <w:bCs/>
          <w:snapToGrid/>
          <w:sz w:val="22"/>
          <w:szCs w:val="22"/>
          <w:lang w:val="fr"/>
        </w:rPr>
      </w:pPr>
      <w:r w:rsidRPr="003B6736">
        <w:rPr>
          <w:rFonts w:ascii="Times New Roman" w:hAnsi="Times New Roman"/>
          <w:b/>
          <w:bCs/>
          <w:snapToGrid/>
          <w:sz w:val="22"/>
          <w:szCs w:val="22"/>
          <w:lang w:val="fr"/>
        </w:rPr>
        <w:t>19, Rue Pinchinat, Petion-Vill, Haïti</w:t>
      </w:r>
    </w:p>
    <w:p w14:paraId="1E493B6A" w14:textId="77777777" w:rsidR="00734020" w:rsidRPr="003B6736" w:rsidRDefault="00734020" w:rsidP="00734020">
      <w:pPr>
        <w:widowControl w:val="0"/>
        <w:pBdr>
          <w:top w:val="nil"/>
          <w:left w:val="nil"/>
          <w:bottom w:val="nil"/>
          <w:right w:val="nil"/>
          <w:between w:val="nil"/>
        </w:pBdr>
        <w:spacing w:before="0" w:after="0"/>
        <w:ind w:left="720"/>
        <w:jc w:val="center"/>
        <w:rPr>
          <w:rFonts w:ascii="Times New Roman" w:hAnsi="Times New Roman"/>
          <w:b/>
          <w:bCs/>
          <w:snapToGrid/>
          <w:color w:val="000000"/>
          <w:sz w:val="22"/>
          <w:szCs w:val="22"/>
          <w:lang w:val="fr"/>
        </w:rPr>
      </w:pPr>
      <w:r w:rsidRPr="003B6736">
        <w:rPr>
          <w:rFonts w:ascii="Times New Roman" w:hAnsi="Times New Roman"/>
          <w:b/>
          <w:bCs/>
          <w:snapToGrid/>
          <w:color w:val="000000"/>
          <w:sz w:val="22"/>
          <w:szCs w:val="22"/>
          <w:lang w:val="fr"/>
        </w:rPr>
        <w:t>Téléphone : (+509) 34553301</w:t>
      </w:r>
    </w:p>
    <w:p w14:paraId="1FC7BA45" w14:textId="4A830183" w:rsidR="0047783A" w:rsidRPr="006508A5" w:rsidRDefault="0047783A" w:rsidP="00734020">
      <w:pPr>
        <w:ind w:left="567"/>
        <w:jc w:val="both"/>
        <w:rPr>
          <w:rFonts w:ascii="Times New Roman" w:hAnsi="Times New Roman"/>
          <w:sz w:val="22"/>
        </w:rPr>
      </w:pPr>
      <w:r w:rsidRPr="006508A5">
        <w:rPr>
          <w:rFonts w:ascii="Times New Roman" w:hAnsi="Times New Roman"/>
          <w:sz w:val="22"/>
        </w:rPr>
        <w:t xml:space="preserve">Les offres doivent respecter les conditions </w:t>
      </w:r>
      <w:proofErr w:type="gramStart"/>
      <w:r w:rsidRPr="006508A5">
        <w:rPr>
          <w:rFonts w:ascii="Times New Roman" w:hAnsi="Times New Roman"/>
          <w:sz w:val="22"/>
        </w:rPr>
        <w:t>suivantes:</w:t>
      </w:r>
      <w:proofErr w:type="gramEnd"/>
    </w:p>
    <w:p w14:paraId="4C41A8D4" w14:textId="20494496" w:rsidR="0047783A" w:rsidRPr="006508A5" w:rsidRDefault="0047783A" w:rsidP="000D1B17">
      <w:pPr>
        <w:pStyle w:val="Heading2"/>
        <w:ind w:left="567" w:hanging="567"/>
        <w:jc w:val="both"/>
        <w:rPr>
          <w:rFonts w:ascii="Times New Roman" w:hAnsi="Times New Roman"/>
        </w:rPr>
      </w:pPr>
      <w:bookmarkStart w:id="16" w:name="_Ref500330141"/>
      <w:r w:rsidRPr="006508A5">
        <w:rPr>
          <w:rFonts w:ascii="Times New Roman" w:hAnsi="Times New Roman"/>
          <w:sz w:val="22"/>
        </w:rPr>
        <w:t>10.2</w:t>
      </w:r>
      <w:r w:rsidRPr="006508A5">
        <w:rPr>
          <w:rFonts w:ascii="Times New Roman" w:hAnsi="Times New Roman"/>
          <w:sz w:val="22"/>
        </w:rPr>
        <w:tab/>
        <w:t>Toutes les offres doivent être soumises sous la forme d’un exemplaire original unique, portant la mention</w:t>
      </w:r>
      <w:proofErr w:type="gramStart"/>
      <w:r w:rsidRPr="006508A5">
        <w:rPr>
          <w:rFonts w:ascii="Times New Roman" w:hAnsi="Times New Roman"/>
          <w:sz w:val="22"/>
        </w:rPr>
        <w:t xml:space="preserve"> «original</w:t>
      </w:r>
      <w:proofErr w:type="gramEnd"/>
      <w:r w:rsidRPr="006508A5">
        <w:rPr>
          <w:rFonts w:ascii="Times New Roman" w:hAnsi="Times New Roman"/>
          <w:sz w:val="22"/>
        </w:rPr>
        <w:t xml:space="preserve">», et de </w:t>
      </w:r>
      <w:r w:rsidR="00997243" w:rsidRPr="006508A5">
        <w:rPr>
          <w:rFonts w:ascii="Times New Roman" w:hAnsi="Times New Roman"/>
          <w:sz w:val="22"/>
        </w:rPr>
        <w:t xml:space="preserve">deux (2) </w:t>
      </w:r>
      <w:proofErr w:type="gramStart"/>
      <w:r w:rsidR="00997243" w:rsidRPr="006508A5">
        <w:rPr>
          <w:rFonts w:ascii="Times New Roman" w:hAnsi="Times New Roman"/>
          <w:sz w:val="22"/>
        </w:rPr>
        <w:t>copies</w:t>
      </w:r>
      <w:r w:rsidR="00EF4E98" w:rsidRPr="006508A5">
        <w:rPr>
          <w:rFonts w:ascii="Times New Roman" w:hAnsi="Times New Roman"/>
          <w:sz w:val="22"/>
        </w:rPr>
        <w:t xml:space="preserve"> </w:t>
      </w:r>
      <w:r w:rsidRPr="006508A5">
        <w:rPr>
          <w:rFonts w:ascii="Times New Roman" w:hAnsi="Times New Roman"/>
          <w:sz w:val="22"/>
        </w:rPr>
        <w:t xml:space="preserve"> </w:t>
      </w:r>
      <w:proofErr w:type="spellStart"/>
      <w:r w:rsidRPr="006508A5">
        <w:rPr>
          <w:rFonts w:ascii="Times New Roman" w:hAnsi="Times New Roman"/>
          <w:sz w:val="22"/>
        </w:rPr>
        <w:t>copies</w:t>
      </w:r>
      <w:proofErr w:type="spellEnd"/>
      <w:proofErr w:type="gramEnd"/>
      <w:r w:rsidRPr="006508A5">
        <w:rPr>
          <w:rFonts w:ascii="Times New Roman" w:hAnsi="Times New Roman"/>
          <w:sz w:val="22"/>
        </w:rPr>
        <w:t xml:space="preserve"> signées de la même façon que l’original et portant la mention</w:t>
      </w:r>
      <w:proofErr w:type="gramStart"/>
      <w:r w:rsidRPr="006508A5">
        <w:rPr>
          <w:rFonts w:ascii="Times New Roman" w:hAnsi="Times New Roman"/>
          <w:sz w:val="22"/>
        </w:rPr>
        <w:t xml:space="preserve"> «copie»..</w:t>
      </w:r>
      <w:proofErr w:type="gramEnd"/>
    </w:p>
    <w:bookmarkEnd w:id="16"/>
    <w:p w14:paraId="0DF6BCF6" w14:textId="73D474D5" w:rsidR="0086759F" w:rsidRPr="006508A5" w:rsidRDefault="0047783A" w:rsidP="000D1B17">
      <w:pPr>
        <w:pStyle w:val="Heading2"/>
        <w:ind w:left="567" w:hanging="567"/>
        <w:jc w:val="both"/>
        <w:rPr>
          <w:rFonts w:ascii="Times New Roman" w:hAnsi="Times New Roman"/>
          <w:sz w:val="22"/>
        </w:rPr>
      </w:pPr>
      <w:r w:rsidRPr="006508A5">
        <w:rPr>
          <w:rFonts w:ascii="Times New Roman" w:hAnsi="Times New Roman"/>
          <w:sz w:val="22"/>
        </w:rPr>
        <w:t>10.3</w:t>
      </w:r>
      <w:r w:rsidRPr="006508A5">
        <w:rPr>
          <w:rFonts w:ascii="Times New Roman" w:hAnsi="Times New Roman"/>
          <w:sz w:val="22"/>
        </w:rPr>
        <w:tab/>
        <w:t xml:space="preserve">Les offres doivent être </w:t>
      </w:r>
      <w:proofErr w:type="gramStart"/>
      <w:r w:rsidRPr="006508A5">
        <w:rPr>
          <w:rFonts w:ascii="Times New Roman" w:hAnsi="Times New Roman"/>
          <w:sz w:val="22"/>
        </w:rPr>
        <w:t>soumises:</w:t>
      </w:r>
      <w:proofErr w:type="gramEnd"/>
    </w:p>
    <w:p w14:paraId="4DBBEB14" w14:textId="77777777" w:rsidR="0086759F" w:rsidRPr="006508A5" w:rsidRDefault="0086759F" w:rsidP="000D1B17">
      <w:pPr>
        <w:pStyle w:val="Heading2"/>
        <w:ind w:left="567" w:hanging="567"/>
        <w:jc w:val="both"/>
        <w:rPr>
          <w:rFonts w:ascii="Times New Roman" w:hAnsi="Times New Roman"/>
          <w:sz w:val="22"/>
        </w:rPr>
      </w:pPr>
      <w:r w:rsidRPr="006508A5">
        <w:rPr>
          <w:rFonts w:ascii="Times New Roman" w:hAnsi="Times New Roman"/>
          <w:sz w:val="22"/>
        </w:rPr>
        <w:tab/>
        <w:t>a) soit par la poste ou par messagerie, auxquels cas le cachet de la poste ou la date du récépissé de dépôt fait foi</w:t>
      </w:r>
      <w:r w:rsidR="00803383" w:rsidRPr="006508A5">
        <w:rPr>
          <w:rStyle w:val="FootnoteReference"/>
          <w:rFonts w:ascii="Times New Roman" w:hAnsi="Times New Roman"/>
          <w:sz w:val="22"/>
          <w:szCs w:val="22"/>
          <w:lang w:val="en-US"/>
        </w:rPr>
        <w:footnoteReference w:id="3"/>
      </w:r>
      <w:r w:rsidRPr="006508A5">
        <w:rPr>
          <w:rFonts w:ascii="Times New Roman" w:hAnsi="Times New Roman"/>
          <w:sz w:val="22"/>
        </w:rPr>
        <w:t>;</w:t>
      </w:r>
    </w:p>
    <w:p w14:paraId="3D364392" w14:textId="77777777" w:rsidR="0086759F" w:rsidRPr="006508A5" w:rsidRDefault="0086759F" w:rsidP="000D1B17">
      <w:pPr>
        <w:pStyle w:val="Heading2"/>
        <w:ind w:left="567" w:hanging="567"/>
        <w:jc w:val="both"/>
        <w:rPr>
          <w:rFonts w:ascii="Times New Roman" w:hAnsi="Times New Roman"/>
          <w:sz w:val="22"/>
        </w:rPr>
      </w:pPr>
      <w:r w:rsidRPr="006508A5">
        <w:rPr>
          <w:rFonts w:ascii="Times New Roman" w:hAnsi="Times New Roman"/>
          <w:sz w:val="22"/>
        </w:rPr>
        <w:tab/>
        <w:t xml:space="preserve">b) soit remises en main propre par le participant en personne ou par un agent directement dans les locaux du pouvoir adjudicateur, auquel cas l’accusé de réception fait foi. </w:t>
      </w:r>
    </w:p>
    <w:p w14:paraId="65CB01B1" w14:textId="389307B7" w:rsidR="008B2A9C" w:rsidRPr="006508A5" w:rsidRDefault="008B2A9C" w:rsidP="009956B4">
      <w:pPr>
        <w:pStyle w:val="Heading2"/>
        <w:keepNext w:val="0"/>
        <w:ind w:left="567"/>
        <w:jc w:val="both"/>
        <w:rPr>
          <w:rFonts w:ascii="Times New Roman" w:hAnsi="Times New Roman"/>
          <w:sz w:val="22"/>
        </w:rPr>
      </w:pPr>
      <w:r w:rsidRPr="006508A5">
        <w:rPr>
          <w:rFonts w:ascii="Times New Roman" w:hAnsi="Times New Roman"/>
          <w:sz w:val="22"/>
        </w:rPr>
        <w:t>Le pouvoir adjudicateur peut, pour des raisons d’efficience administrative, rejeter toute candidature ou offre soumise à temps au service postal mais reçue, pour toute raison échappant au contrôle du pouvoir adjudicateur, après la date effective d’approbation de la liste des candidats présélectionnés ou du rapport d’évaluation, si le fait d’accepter ces candidatures ou offres soumises à temps mais arrivées tardivement risque de retarder exagérément la procédure d’évaluation ou de remettre en cause des décisions déjà prises et communiquées.</w:t>
      </w:r>
    </w:p>
    <w:p w14:paraId="380CD258" w14:textId="221C1B16" w:rsidR="0047783A" w:rsidRPr="006508A5" w:rsidRDefault="0047783A" w:rsidP="009956B4">
      <w:pPr>
        <w:pStyle w:val="Heading2"/>
        <w:keepNext w:val="0"/>
        <w:ind w:left="567" w:hanging="567"/>
        <w:jc w:val="both"/>
        <w:rPr>
          <w:rFonts w:ascii="Times New Roman" w:hAnsi="Times New Roman"/>
          <w:sz w:val="22"/>
        </w:rPr>
      </w:pPr>
      <w:r w:rsidRPr="006508A5">
        <w:rPr>
          <w:rFonts w:ascii="Times New Roman" w:hAnsi="Times New Roman"/>
          <w:sz w:val="22"/>
        </w:rPr>
        <w:t>10.4</w:t>
      </w:r>
      <w:r w:rsidRPr="006508A5">
        <w:rPr>
          <w:rFonts w:ascii="Times New Roman" w:hAnsi="Times New Roman"/>
          <w:sz w:val="22"/>
        </w:rPr>
        <w:tab/>
        <w:t xml:space="preserve">Toutes les offres, y compris leurs annexes et toutes les pièces justificatives, doivent être soumises dans une enveloppe scellée et porter pour seules </w:t>
      </w:r>
      <w:proofErr w:type="gramStart"/>
      <w:r w:rsidRPr="006508A5">
        <w:rPr>
          <w:rFonts w:ascii="Times New Roman" w:hAnsi="Times New Roman"/>
          <w:sz w:val="22"/>
        </w:rPr>
        <w:t>mentions:</w:t>
      </w:r>
      <w:proofErr w:type="gramEnd"/>
    </w:p>
    <w:p w14:paraId="5EEE5B26" w14:textId="77777777" w:rsidR="0047783A" w:rsidRPr="006508A5" w:rsidRDefault="0047783A" w:rsidP="009956B4">
      <w:pPr>
        <w:pStyle w:val="Heading2"/>
        <w:keepNext w:val="0"/>
        <w:ind w:left="567"/>
        <w:jc w:val="both"/>
        <w:rPr>
          <w:rFonts w:ascii="Times New Roman" w:hAnsi="Times New Roman"/>
          <w:sz w:val="22"/>
        </w:rPr>
      </w:pPr>
      <w:r w:rsidRPr="006508A5">
        <w:rPr>
          <w:rFonts w:ascii="Times New Roman" w:hAnsi="Times New Roman"/>
          <w:sz w:val="22"/>
        </w:rPr>
        <w:t>a)</w:t>
      </w:r>
      <w:r w:rsidRPr="006508A5">
        <w:rPr>
          <w:rFonts w:ascii="Times New Roman" w:hAnsi="Times New Roman"/>
          <w:sz w:val="22"/>
        </w:rPr>
        <w:tab/>
        <w:t>l’adresse indiquée ci-</w:t>
      </w:r>
      <w:proofErr w:type="gramStart"/>
      <w:r w:rsidRPr="006508A5">
        <w:rPr>
          <w:rFonts w:ascii="Times New Roman" w:hAnsi="Times New Roman"/>
          <w:sz w:val="22"/>
        </w:rPr>
        <w:t>dessus;</w:t>
      </w:r>
      <w:proofErr w:type="gramEnd"/>
    </w:p>
    <w:p w14:paraId="792BB132" w14:textId="72176D74" w:rsidR="0047783A" w:rsidRPr="006508A5" w:rsidRDefault="0047783A" w:rsidP="009956B4">
      <w:pPr>
        <w:pStyle w:val="Heading2"/>
        <w:keepNext w:val="0"/>
        <w:ind w:left="567"/>
        <w:jc w:val="both"/>
        <w:rPr>
          <w:rFonts w:ascii="Times New Roman" w:hAnsi="Times New Roman"/>
          <w:sz w:val="22"/>
        </w:rPr>
      </w:pPr>
      <w:r w:rsidRPr="006508A5">
        <w:rPr>
          <w:rFonts w:ascii="Times New Roman" w:hAnsi="Times New Roman"/>
          <w:sz w:val="22"/>
        </w:rPr>
        <w:t>b)</w:t>
      </w:r>
      <w:r w:rsidRPr="006508A5">
        <w:rPr>
          <w:rFonts w:ascii="Times New Roman" w:hAnsi="Times New Roman"/>
          <w:sz w:val="22"/>
        </w:rPr>
        <w:tab/>
        <w:t>la référence du présent appel d’offres (à savoir &lt;</w:t>
      </w:r>
      <w:r w:rsidR="00F13853" w:rsidRPr="006508A5">
        <w:rPr>
          <w:rFonts w:ascii="Times New Roman" w:hAnsi="Times New Roman"/>
          <w:snapToGrid/>
          <w:sz w:val="22"/>
          <w:szCs w:val="22"/>
          <w:lang w:val="fr"/>
        </w:rPr>
        <w:t xml:space="preserve"> </w:t>
      </w:r>
      <w:r w:rsidR="00F13853" w:rsidRPr="006508A5">
        <w:rPr>
          <w:rFonts w:ascii="Times New Roman" w:hAnsi="Times New Roman"/>
          <w:sz w:val="22"/>
          <w:lang w:val="fr"/>
        </w:rPr>
        <w:t>PMSAN2/DP/INV/VEH/001</w:t>
      </w:r>
      <w:r w:rsidRPr="006508A5">
        <w:rPr>
          <w:rFonts w:ascii="Times New Roman" w:hAnsi="Times New Roman"/>
          <w:sz w:val="22"/>
        </w:rPr>
        <w:t>&gt;</w:t>
      </w:r>
      <w:proofErr w:type="gramStart"/>
      <w:r w:rsidRPr="006508A5">
        <w:rPr>
          <w:rFonts w:ascii="Times New Roman" w:hAnsi="Times New Roman"/>
          <w:sz w:val="22"/>
        </w:rPr>
        <w:t>);</w:t>
      </w:r>
      <w:proofErr w:type="gramEnd"/>
    </w:p>
    <w:p w14:paraId="1C39B6B0" w14:textId="77777777" w:rsidR="0047783A" w:rsidRPr="006508A5" w:rsidRDefault="0047783A" w:rsidP="009956B4">
      <w:pPr>
        <w:pStyle w:val="Heading2"/>
        <w:keepNext w:val="0"/>
        <w:ind w:left="567"/>
        <w:jc w:val="both"/>
        <w:rPr>
          <w:rFonts w:ascii="Times New Roman" w:hAnsi="Times New Roman"/>
          <w:sz w:val="22"/>
        </w:rPr>
      </w:pPr>
      <w:r w:rsidRPr="006508A5">
        <w:rPr>
          <w:rFonts w:ascii="Times New Roman" w:hAnsi="Times New Roman"/>
          <w:sz w:val="22"/>
        </w:rPr>
        <w:t>c)</w:t>
      </w:r>
      <w:r w:rsidRPr="006508A5">
        <w:rPr>
          <w:rFonts w:ascii="Times New Roman" w:hAnsi="Times New Roman"/>
          <w:sz w:val="22"/>
        </w:rPr>
        <w:tab/>
        <w:t xml:space="preserve">le cas échéant, le numéro du ou des lots pour lesquels le soumissionnaire présente une </w:t>
      </w:r>
      <w:proofErr w:type="gramStart"/>
      <w:r w:rsidRPr="006508A5">
        <w:rPr>
          <w:rFonts w:ascii="Times New Roman" w:hAnsi="Times New Roman"/>
          <w:sz w:val="22"/>
        </w:rPr>
        <w:t>offre;</w:t>
      </w:r>
      <w:proofErr w:type="gramEnd"/>
    </w:p>
    <w:p w14:paraId="6D224A96" w14:textId="095DC5F2" w:rsidR="0047783A" w:rsidRPr="006508A5" w:rsidRDefault="0047783A" w:rsidP="009956B4">
      <w:pPr>
        <w:pStyle w:val="Heading2"/>
        <w:keepNext w:val="0"/>
        <w:ind w:left="1418" w:hanging="851"/>
        <w:jc w:val="both"/>
        <w:rPr>
          <w:rFonts w:ascii="Times New Roman" w:hAnsi="Times New Roman"/>
          <w:sz w:val="22"/>
        </w:rPr>
      </w:pPr>
      <w:r w:rsidRPr="006508A5">
        <w:rPr>
          <w:rFonts w:ascii="Times New Roman" w:hAnsi="Times New Roman"/>
          <w:sz w:val="22"/>
        </w:rPr>
        <w:t>d)</w:t>
      </w:r>
      <w:r w:rsidRPr="006508A5">
        <w:rPr>
          <w:rFonts w:ascii="Times New Roman" w:hAnsi="Times New Roman"/>
          <w:sz w:val="22"/>
        </w:rPr>
        <w:tab/>
        <w:t>la mention</w:t>
      </w:r>
      <w:proofErr w:type="gramStart"/>
      <w:r w:rsidRPr="006508A5">
        <w:rPr>
          <w:rFonts w:ascii="Times New Roman" w:hAnsi="Times New Roman"/>
          <w:sz w:val="22"/>
        </w:rPr>
        <w:t xml:space="preserve"> «Ne</w:t>
      </w:r>
      <w:proofErr w:type="gramEnd"/>
      <w:r w:rsidRPr="006508A5">
        <w:rPr>
          <w:rFonts w:ascii="Times New Roman" w:hAnsi="Times New Roman"/>
          <w:sz w:val="22"/>
        </w:rPr>
        <w:t xml:space="preserve"> pas ouvrir avant la séance d’ouverture des </w:t>
      </w:r>
      <w:proofErr w:type="gramStart"/>
      <w:r w:rsidRPr="006508A5">
        <w:rPr>
          <w:rFonts w:ascii="Times New Roman" w:hAnsi="Times New Roman"/>
          <w:sz w:val="22"/>
        </w:rPr>
        <w:t>offres»</w:t>
      </w:r>
      <w:proofErr w:type="gramEnd"/>
      <w:r w:rsidRPr="006508A5">
        <w:rPr>
          <w:rFonts w:ascii="Times New Roman" w:hAnsi="Times New Roman"/>
          <w:sz w:val="22"/>
        </w:rPr>
        <w:t xml:space="preserve"> dans la langue du dossier d’appel d’offres et &lt;</w:t>
      </w:r>
      <w:r w:rsidR="003F5452" w:rsidRPr="006508A5">
        <w:rPr>
          <w:rFonts w:ascii="Times New Roman" w:hAnsi="Times New Roman"/>
          <w:b/>
          <w:bCs/>
          <w:i/>
          <w:iCs/>
          <w:sz w:val="22"/>
        </w:rPr>
        <w:t xml:space="preserve">ne pas </w:t>
      </w:r>
      <w:r w:rsidR="00670610" w:rsidRPr="006508A5">
        <w:rPr>
          <w:rFonts w:ascii="Times New Roman" w:hAnsi="Times New Roman"/>
          <w:b/>
          <w:bCs/>
          <w:i/>
          <w:iCs/>
          <w:sz w:val="22"/>
        </w:rPr>
        <w:t>ouvrir avant la date d’ouverture</w:t>
      </w:r>
      <w:r w:rsidR="00044977" w:rsidRPr="006508A5">
        <w:rPr>
          <w:rFonts w:ascii="Times New Roman" w:hAnsi="Times New Roman"/>
          <w:sz w:val="22"/>
        </w:rPr>
        <w:t xml:space="preserve"> </w:t>
      </w:r>
      <w:proofErr w:type="gramStart"/>
      <w:r w:rsidRPr="006508A5">
        <w:rPr>
          <w:rFonts w:ascii="Times New Roman" w:hAnsi="Times New Roman"/>
          <w:sz w:val="22"/>
        </w:rPr>
        <w:t>&gt;;</w:t>
      </w:r>
      <w:proofErr w:type="gramEnd"/>
    </w:p>
    <w:p w14:paraId="579455BA" w14:textId="77777777" w:rsidR="0047783A" w:rsidRPr="006508A5" w:rsidRDefault="0047783A" w:rsidP="009956B4">
      <w:pPr>
        <w:pStyle w:val="Heading2"/>
        <w:keepNext w:val="0"/>
        <w:ind w:left="567"/>
        <w:jc w:val="both"/>
        <w:rPr>
          <w:rFonts w:ascii="Times New Roman" w:hAnsi="Times New Roman"/>
          <w:sz w:val="22"/>
        </w:rPr>
      </w:pPr>
      <w:r w:rsidRPr="006508A5">
        <w:rPr>
          <w:rFonts w:ascii="Times New Roman" w:hAnsi="Times New Roman"/>
          <w:sz w:val="22"/>
        </w:rPr>
        <w:t>e)</w:t>
      </w:r>
      <w:r w:rsidRPr="006508A5">
        <w:rPr>
          <w:rFonts w:ascii="Times New Roman" w:hAnsi="Times New Roman"/>
          <w:sz w:val="22"/>
        </w:rPr>
        <w:tab/>
        <w:t>le nom du soumissionnaire.</w:t>
      </w:r>
    </w:p>
    <w:p w14:paraId="70A99683" w14:textId="75B64BDE" w:rsidR="0047783A" w:rsidRPr="006508A5" w:rsidRDefault="0047783A" w:rsidP="009956B4">
      <w:pPr>
        <w:pStyle w:val="Heading2"/>
        <w:keepNext w:val="0"/>
        <w:ind w:left="567"/>
        <w:jc w:val="both"/>
        <w:rPr>
          <w:rFonts w:ascii="Times New Roman" w:hAnsi="Times New Roman"/>
          <w:sz w:val="22"/>
        </w:rPr>
      </w:pPr>
      <w:r w:rsidRPr="006508A5">
        <w:rPr>
          <w:rFonts w:ascii="Times New Roman" w:hAnsi="Times New Roman"/>
          <w:sz w:val="22"/>
        </w:rPr>
        <w:t>Les offres techniques et financières doivent être placées ensemble dans une enveloppe scellée. L’enveloppe doit ensuite être placée dans une autre enveloppe scellée/un autre colis scellé, à moins que leur volume ne nécessite une soumission distincte pour chaque lot.</w:t>
      </w:r>
    </w:p>
    <w:p w14:paraId="5D07CC26" w14:textId="76DEB0B8" w:rsidR="0047783A" w:rsidRPr="001A2BC4" w:rsidRDefault="00A633C6" w:rsidP="009956B4">
      <w:pPr>
        <w:pStyle w:val="Heading1"/>
      </w:pPr>
      <w:bookmarkStart w:id="17" w:name="_Toc42488080"/>
      <w:r>
        <w:t>11. Contenu des offres</w:t>
      </w:r>
      <w:bookmarkEnd w:id="17"/>
    </w:p>
    <w:p w14:paraId="0F2FBCDA" w14:textId="39E2B80C" w:rsidR="0047783A" w:rsidRPr="00E82463" w:rsidRDefault="006D4CEC" w:rsidP="0047783A">
      <w:pPr>
        <w:spacing w:after="0"/>
        <w:ind w:left="567"/>
        <w:jc w:val="both"/>
        <w:outlineLvl w:val="0"/>
        <w:rPr>
          <w:rFonts w:ascii="Times New Roman" w:hAnsi="Times New Roman"/>
          <w:sz w:val="22"/>
          <w:szCs w:val="22"/>
        </w:rPr>
      </w:pPr>
      <w:r>
        <w:rPr>
          <w:rFonts w:ascii="Times New Roman" w:hAnsi="Times New Roman"/>
          <w:sz w:val="22"/>
          <w:szCs w:val="22"/>
        </w:rPr>
        <w:t xml:space="preserve">Le non-respect des exigences exposées ci-après constitue une irrégularité susceptible d’entraîner le rejet de l’offre. Toutes les offres soumises doivent être conformes aux exigences prévues dans le dossier d’appel d’offres et </w:t>
      </w:r>
      <w:r w:rsidR="009267A0">
        <w:rPr>
          <w:rFonts w:ascii="Times New Roman" w:hAnsi="Times New Roman"/>
          <w:sz w:val="22"/>
          <w:szCs w:val="22"/>
        </w:rPr>
        <w:t>comporter :</w:t>
      </w:r>
    </w:p>
    <w:p w14:paraId="356CB204" w14:textId="3FF30D78" w:rsidR="0047783A" w:rsidRPr="00E82463" w:rsidRDefault="0047783A" w:rsidP="00C348C0">
      <w:pPr>
        <w:keepNext/>
        <w:keepLines/>
        <w:ind w:left="567"/>
        <w:jc w:val="both"/>
        <w:outlineLvl w:val="0"/>
        <w:rPr>
          <w:rFonts w:ascii="Times New Roman" w:hAnsi="Times New Roman"/>
          <w:b/>
          <w:sz w:val="22"/>
          <w:szCs w:val="22"/>
        </w:rPr>
      </w:pPr>
      <w:r>
        <w:rPr>
          <w:rFonts w:ascii="Times New Roman" w:hAnsi="Times New Roman"/>
          <w:b/>
          <w:sz w:val="22"/>
          <w:szCs w:val="22"/>
        </w:rPr>
        <w:lastRenderedPageBreak/>
        <w:t>Partie </w:t>
      </w:r>
      <w:proofErr w:type="gramStart"/>
      <w:r>
        <w:rPr>
          <w:rFonts w:ascii="Times New Roman" w:hAnsi="Times New Roman"/>
          <w:b/>
          <w:sz w:val="22"/>
          <w:szCs w:val="22"/>
        </w:rPr>
        <w:t>1:</w:t>
      </w:r>
      <w:proofErr w:type="gramEnd"/>
      <w:r>
        <w:rPr>
          <w:rFonts w:ascii="Times New Roman" w:hAnsi="Times New Roman"/>
          <w:b/>
          <w:sz w:val="22"/>
          <w:szCs w:val="22"/>
        </w:rPr>
        <w:t xml:space="preserve"> offre </w:t>
      </w:r>
      <w:r w:rsidR="009267A0">
        <w:rPr>
          <w:rFonts w:ascii="Times New Roman" w:hAnsi="Times New Roman"/>
          <w:b/>
          <w:sz w:val="22"/>
          <w:szCs w:val="22"/>
        </w:rPr>
        <w:t>technique :</w:t>
      </w:r>
    </w:p>
    <w:p w14:paraId="25F60D7C" w14:textId="6105B6B0" w:rsidR="0047783A" w:rsidRPr="00E82463" w:rsidRDefault="0047783A" w:rsidP="00C348C0">
      <w:pPr>
        <w:pStyle w:val="Heading2"/>
        <w:keepLines/>
        <w:numPr>
          <w:ilvl w:val="0"/>
          <w:numId w:val="6"/>
        </w:numPr>
        <w:tabs>
          <w:tab w:val="num" w:pos="1134"/>
        </w:tabs>
        <w:spacing w:before="0" w:after="0"/>
        <w:ind w:left="1135" w:hanging="568"/>
        <w:rPr>
          <w:rFonts w:ascii="Times New Roman" w:hAnsi="Times New Roman"/>
          <w:sz w:val="22"/>
          <w:szCs w:val="22"/>
        </w:rPr>
      </w:pPr>
      <w:proofErr w:type="gramStart"/>
      <w:r>
        <w:rPr>
          <w:rFonts w:ascii="Times New Roman" w:hAnsi="Times New Roman"/>
          <w:sz w:val="22"/>
          <w:szCs w:val="22"/>
        </w:rPr>
        <w:t>une</w:t>
      </w:r>
      <w:proofErr w:type="gramEnd"/>
      <w:r>
        <w:rPr>
          <w:rFonts w:ascii="Times New Roman" w:hAnsi="Times New Roman"/>
          <w:sz w:val="22"/>
          <w:szCs w:val="22"/>
        </w:rPr>
        <w:t xml:space="preserve"> description détaillée des fournitures proposées, conformément aux spécifications techniques, incluant, le cas échéant, la documentation requise, </w:t>
      </w:r>
      <w:r w:rsidR="009267A0">
        <w:rPr>
          <w:rFonts w:ascii="Times New Roman" w:hAnsi="Times New Roman"/>
          <w:sz w:val="22"/>
          <w:szCs w:val="22"/>
        </w:rPr>
        <w:t>notamment :</w:t>
      </w:r>
    </w:p>
    <w:p w14:paraId="6B701334" w14:textId="1749F378" w:rsidR="0047783A" w:rsidRPr="007C702E" w:rsidRDefault="0047783A" w:rsidP="0047783A">
      <w:pPr>
        <w:numPr>
          <w:ilvl w:val="1"/>
          <w:numId w:val="10"/>
        </w:numPr>
        <w:spacing w:after="0"/>
        <w:ind w:hanging="306"/>
        <w:rPr>
          <w:rFonts w:ascii="Times New Roman" w:hAnsi="Times New Roman"/>
          <w:sz w:val="22"/>
          <w:szCs w:val="22"/>
        </w:rPr>
      </w:pPr>
      <w:proofErr w:type="gramStart"/>
      <w:r w:rsidRPr="007C702E">
        <w:rPr>
          <w:rFonts w:ascii="Times New Roman" w:hAnsi="Times New Roman"/>
          <w:sz w:val="22"/>
          <w:szCs w:val="22"/>
        </w:rPr>
        <w:t>la</w:t>
      </w:r>
      <w:proofErr w:type="gramEnd"/>
      <w:r w:rsidRPr="007C702E">
        <w:rPr>
          <w:rFonts w:ascii="Times New Roman" w:hAnsi="Times New Roman"/>
          <w:sz w:val="22"/>
          <w:szCs w:val="22"/>
        </w:rPr>
        <w:t xml:space="preserve"> liste des pièces de rechange et des consommables recommandés par le fabricant</w:t>
      </w:r>
      <w:proofErr w:type="gramStart"/>
      <w:r w:rsidRPr="007C702E">
        <w:rPr>
          <w:rFonts w:ascii="Times New Roman" w:hAnsi="Times New Roman"/>
          <w:sz w:val="22"/>
          <w:szCs w:val="22"/>
        </w:rPr>
        <w:t>];</w:t>
      </w:r>
      <w:proofErr w:type="gramEnd"/>
    </w:p>
    <w:p w14:paraId="459DA4D5" w14:textId="5BF09DFD" w:rsidR="0047783A" w:rsidRPr="007C702E" w:rsidRDefault="0047783A" w:rsidP="0047783A">
      <w:pPr>
        <w:numPr>
          <w:ilvl w:val="1"/>
          <w:numId w:val="10"/>
        </w:numPr>
        <w:spacing w:after="0"/>
        <w:ind w:hanging="306"/>
        <w:rPr>
          <w:rFonts w:ascii="Times New Roman" w:hAnsi="Times New Roman"/>
          <w:sz w:val="22"/>
          <w:szCs w:val="22"/>
        </w:rPr>
      </w:pPr>
      <w:proofErr w:type="gramStart"/>
      <w:r w:rsidRPr="007C702E">
        <w:rPr>
          <w:rFonts w:ascii="Times New Roman" w:hAnsi="Times New Roman"/>
          <w:sz w:val="22"/>
          <w:szCs w:val="22"/>
        </w:rPr>
        <w:t>une</w:t>
      </w:r>
      <w:proofErr w:type="gramEnd"/>
      <w:r w:rsidRPr="007C702E">
        <w:rPr>
          <w:rFonts w:ascii="Times New Roman" w:hAnsi="Times New Roman"/>
          <w:sz w:val="22"/>
          <w:szCs w:val="22"/>
        </w:rPr>
        <w:t xml:space="preserve"> proposition de service après-vente pendant </w:t>
      </w:r>
      <w:r w:rsidR="00546B6C" w:rsidRPr="007C702E">
        <w:rPr>
          <w:rFonts w:ascii="Times New Roman" w:hAnsi="Times New Roman"/>
          <w:sz w:val="22"/>
          <w:szCs w:val="22"/>
        </w:rPr>
        <w:t xml:space="preserve">2 ans </w:t>
      </w:r>
      <w:r w:rsidRPr="007C702E">
        <w:rPr>
          <w:rFonts w:ascii="Times New Roman" w:hAnsi="Times New Roman"/>
          <w:sz w:val="22"/>
          <w:szCs w:val="22"/>
        </w:rPr>
        <w:t>;</w:t>
      </w:r>
    </w:p>
    <w:p w14:paraId="4BC94B6E" w14:textId="30FC49D8" w:rsidR="00555BFC" w:rsidRPr="007C702E" w:rsidRDefault="0047783A" w:rsidP="00637D16">
      <w:pPr>
        <w:numPr>
          <w:ilvl w:val="1"/>
          <w:numId w:val="10"/>
        </w:numPr>
        <w:spacing w:after="0"/>
        <w:ind w:hanging="306"/>
        <w:rPr>
          <w:rFonts w:ascii="Times New Roman" w:hAnsi="Times New Roman"/>
          <w:sz w:val="22"/>
          <w:szCs w:val="22"/>
        </w:rPr>
      </w:pPr>
      <w:proofErr w:type="gramStart"/>
      <w:r w:rsidRPr="007C702E">
        <w:rPr>
          <w:rFonts w:ascii="Times New Roman" w:hAnsi="Times New Roman"/>
          <w:sz w:val="22"/>
          <w:szCs w:val="22"/>
        </w:rPr>
        <w:t>une</w:t>
      </w:r>
      <w:proofErr w:type="gramEnd"/>
      <w:r w:rsidRPr="007C702E">
        <w:rPr>
          <w:rFonts w:ascii="Times New Roman" w:hAnsi="Times New Roman"/>
          <w:sz w:val="22"/>
          <w:szCs w:val="22"/>
        </w:rPr>
        <w:t xml:space="preserve"> proposition de formation (indiquez les besoins en matière de formation)</w:t>
      </w:r>
      <w:proofErr w:type="gramStart"/>
      <w:r w:rsidRPr="007C702E">
        <w:rPr>
          <w:rFonts w:ascii="Times New Roman" w:hAnsi="Times New Roman"/>
          <w:sz w:val="22"/>
          <w:szCs w:val="22"/>
        </w:rPr>
        <w:t>];</w:t>
      </w:r>
      <w:proofErr w:type="gramEnd"/>
      <w:r w:rsidRPr="007C702E">
        <w:rPr>
          <w:rFonts w:ascii="Times New Roman" w:hAnsi="Times New Roman"/>
          <w:sz w:val="22"/>
          <w:szCs w:val="22"/>
        </w:rPr>
        <w:t xml:space="preserve"> </w:t>
      </w:r>
    </w:p>
    <w:p w14:paraId="045FA2D1" w14:textId="59A9A375" w:rsidR="0047783A" w:rsidRPr="007C702E" w:rsidRDefault="0047783A" w:rsidP="0047783A">
      <w:pPr>
        <w:numPr>
          <w:ilvl w:val="1"/>
          <w:numId w:val="10"/>
        </w:numPr>
        <w:spacing w:after="0"/>
        <w:ind w:hanging="306"/>
        <w:rPr>
          <w:rFonts w:ascii="Times New Roman" w:hAnsi="Times New Roman"/>
          <w:sz w:val="22"/>
          <w:szCs w:val="22"/>
        </w:rPr>
      </w:pPr>
      <w:proofErr w:type="gramStart"/>
      <w:r w:rsidRPr="007C702E">
        <w:rPr>
          <w:rFonts w:ascii="Times New Roman" w:hAnsi="Times New Roman"/>
          <w:sz w:val="22"/>
          <w:szCs w:val="22"/>
        </w:rPr>
        <w:t>des</w:t>
      </w:r>
      <w:proofErr w:type="gramEnd"/>
      <w:r w:rsidRPr="007C702E">
        <w:rPr>
          <w:rFonts w:ascii="Times New Roman" w:hAnsi="Times New Roman"/>
          <w:sz w:val="22"/>
          <w:szCs w:val="22"/>
        </w:rPr>
        <w:t xml:space="preserve"> propositions techniques portant sur des services auxiliaires].</w:t>
      </w:r>
    </w:p>
    <w:p w14:paraId="63F5D5F5" w14:textId="77777777" w:rsidR="0047783A" w:rsidRPr="00E82463" w:rsidRDefault="0047783A" w:rsidP="0047783A">
      <w:pPr>
        <w:ind w:left="567"/>
        <w:rPr>
          <w:rFonts w:ascii="Times New Roman" w:hAnsi="Times New Roman"/>
          <w:sz w:val="22"/>
          <w:szCs w:val="22"/>
        </w:rPr>
      </w:pPr>
      <w:r>
        <w:rPr>
          <w:rFonts w:ascii="Times New Roman" w:hAnsi="Times New Roman"/>
          <w:sz w:val="22"/>
          <w:szCs w:val="22"/>
        </w:rPr>
        <w:t>L’offre technique doit être présentée au moyen du modèle fourni (annexes II + III* — Offre technique du contractant), des précisions pouvant être ajoutées sur des feuilles séparées, si nécessaire.</w:t>
      </w:r>
    </w:p>
    <w:p w14:paraId="691E1462" w14:textId="77777777" w:rsidR="0047783A" w:rsidRPr="00E82463" w:rsidRDefault="0047783A" w:rsidP="0047783A">
      <w:pPr>
        <w:ind w:left="567"/>
        <w:jc w:val="both"/>
        <w:outlineLvl w:val="0"/>
        <w:rPr>
          <w:rFonts w:ascii="Times New Roman" w:hAnsi="Times New Roman"/>
          <w:b/>
          <w:sz w:val="22"/>
          <w:szCs w:val="22"/>
        </w:rPr>
      </w:pPr>
      <w:r>
        <w:rPr>
          <w:rFonts w:ascii="Times New Roman" w:hAnsi="Times New Roman"/>
          <w:b/>
          <w:sz w:val="22"/>
          <w:szCs w:val="22"/>
        </w:rPr>
        <w:t>Partie </w:t>
      </w:r>
      <w:proofErr w:type="gramStart"/>
      <w:r>
        <w:rPr>
          <w:rFonts w:ascii="Times New Roman" w:hAnsi="Times New Roman"/>
          <w:b/>
          <w:sz w:val="22"/>
          <w:szCs w:val="22"/>
        </w:rPr>
        <w:t>2:</w:t>
      </w:r>
      <w:proofErr w:type="gramEnd"/>
      <w:r>
        <w:rPr>
          <w:rFonts w:ascii="Times New Roman" w:hAnsi="Times New Roman"/>
          <w:b/>
          <w:sz w:val="22"/>
          <w:szCs w:val="22"/>
        </w:rPr>
        <w:t xml:space="preserve"> offre </w:t>
      </w:r>
      <w:proofErr w:type="gramStart"/>
      <w:r>
        <w:rPr>
          <w:rFonts w:ascii="Times New Roman" w:hAnsi="Times New Roman"/>
          <w:b/>
          <w:sz w:val="22"/>
          <w:szCs w:val="22"/>
        </w:rPr>
        <w:t>financière:</w:t>
      </w:r>
      <w:proofErr w:type="gramEnd"/>
    </w:p>
    <w:p w14:paraId="4200E186" w14:textId="3773721C" w:rsidR="0047783A" w:rsidRPr="00E82463" w:rsidRDefault="0047783A" w:rsidP="0047783A">
      <w:pPr>
        <w:pStyle w:val="Heading2"/>
        <w:keepNext w:val="0"/>
        <w:numPr>
          <w:ilvl w:val="0"/>
          <w:numId w:val="6"/>
        </w:numPr>
        <w:tabs>
          <w:tab w:val="num" w:pos="1134"/>
        </w:tabs>
        <w:spacing w:before="0" w:after="0"/>
        <w:ind w:left="1135" w:hanging="568"/>
        <w:rPr>
          <w:rFonts w:ascii="Times New Roman" w:hAnsi="Times New Roman"/>
          <w:sz w:val="22"/>
          <w:szCs w:val="22"/>
        </w:rPr>
      </w:pPr>
      <w:proofErr w:type="gramStart"/>
      <w:r>
        <w:rPr>
          <w:rFonts w:ascii="Times New Roman" w:hAnsi="Times New Roman"/>
          <w:sz w:val="22"/>
          <w:szCs w:val="22"/>
        </w:rPr>
        <w:t>une</w:t>
      </w:r>
      <w:proofErr w:type="gramEnd"/>
      <w:r>
        <w:rPr>
          <w:rFonts w:ascii="Times New Roman" w:hAnsi="Times New Roman"/>
          <w:sz w:val="22"/>
          <w:szCs w:val="22"/>
        </w:rPr>
        <w:t xml:space="preserve"> offre financière, calculée sur une base </w:t>
      </w:r>
      <w:r>
        <w:rPr>
          <w:rFonts w:ascii="Times New Roman" w:hAnsi="Times New Roman"/>
          <w:sz w:val="22"/>
          <w:szCs w:val="22"/>
          <w:highlight w:val="lightGray"/>
        </w:rPr>
        <w:t>DAP</w:t>
      </w:r>
      <w:r w:rsidRPr="00E82463">
        <w:rPr>
          <w:rStyle w:val="FootnoteReference"/>
          <w:rFonts w:ascii="Times New Roman" w:hAnsi="Times New Roman"/>
        </w:rPr>
        <w:footnoteReference w:id="4"/>
      </w:r>
      <w:r>
        <w:rPr>
          <w:rFonts w:ascii="Times New Roman" w:hAnsi="Times New Roman"/>
          <w:sz w:val="22"/>
          <w:szCs w:val="22"/>
        </w:rPr>
        <w:t xml:space="preserve"> pour les fournitures proposées, incluant, le cas </w:t>
      </w:r>
      <w:proofErr w:type="gramStart"/>
      <w:r>
        <w:rPr>
          <w:rFonts w:ascii="Times New Roman" w:hAnsi="Times New Roman"/>
          <w:sz w:val="22"/>
          <w:szCs w:val="22"/>
        </w:rPr>
        <w:t>échéant:</w:t>
      </w:r>
      <w:proofErr w:type="gramEnd"/>
    </w:p>
    <w:p w14:paraId="36D89710" w14:textId="38E9CEA0" w:rsidR="0047783A" w:rsidRPr="00D85672" w:rsidRDefault="0047783A" w:rsidP="0047783A">
      <w:pPr>
        <w:numPr>
          <w:ilvl w:val="1"/>
          <w:numId w:val="10"/>
        </w:numPr>
        <w:spacing w:after="0"/>
        <w:ind w:hanging="306"/>
        <w:rPr>
          <w:rFonts w:ascii="Times New Roman" w:hAnsi="Times New Roman"/>
          <w:sz w:val="22"/>
          <w:szCs w:val="22"/>
        </w:rPr>
      </w:pPr>
      <w:proofErr w:type="gramStart"/>
      <w:r w:rsidRPr="00D85672">
        <w:rPr>
          <w:rFonts w:ascii="Times New Roman" w:hAnsi="Times New Roman"/>
          <w:sz w:val="22"/>
          <w:szCs w:val="22"/>
        </w:rPr>
        <w:t>une</w:t>
      </w:r>
      <w:proofErr w:type="gramEnd"/>
      <w:r w:rsidRPr="00D85672">
        <w:rPr>
          <w:rFonts w:ascii="Times New Roman" w:hAnsi="Times New Roman"/>
          <w:sz w:val="22"/>
          <w:szCs w:val="22"/>
        </w:rPr>
        <w:t xml:space="preserve"> offre financière pour les pièces de rechange et les consommables pour une utilisation pendant </w:t>
      </w:r>
      <w:r w:rsidR="00546B6C" w:rsidRPr="00D85672">
        <w:rPr>
          <w:rFonts w:ascii="Times New Roman" w:hAnsi="Times New Roman"/>
          <w:sz w:val="22"/>
          <w:szCs w:val="22"/>
        </w:rPr>
        <w:t>deux (2) ans</w:t>
      </w:r>
      <w:r w:rsidRPr="00D85672">
        <w:rPr>
          <w:rFonts w:ascii="Times New Roman" w:hAnsi="Times New Roman"/>
          <w:sz w:val="22"/>
          <w:szCs w:val="22"/>
        </w:rPr>
        <w:t>] [avec la liste des prix par article</w:t>
      </w:r>
      <w:proofErr w:type="gramStart"/>
      <w:r w:rsidRPr="00D85672">
        <w:rPr>
          <w:rFonts w:ascii="Times New Roman" w:hAnsi="Times New Roman"/>
          <w:sz w:val="22"/>
          <w:szCs w:val="22"/>
        </w:rPr>
        <w:t>];</w:t>
      </w:r>
      <w:proofErr w:type="gramEnd"/>
    </w:p>
    <w:p w14:paraId="2E28224C" w14:textId="7CA8902F" w:rsidR="0047783A" w:rsidRPr="00D85672" w:rsidRDefault="0047783A" w:rsidP="0047783A">
      <w:pPr>
        <w:numPr>
          <w:ilvl w:val="1"/>
          <w:numId w:val="10"/>
        </w:numPr>
        <w:spacing w:after="0"/>
        <w:ind w:hanging="306"/>
        <w:rPr>
          <w:rFonts w:ascii="Times New Roman" w:hAnsi="Times New Roman"/>
          <w:sz w:val="22"/>
          <w:szCs w:val="22"/>
        </w:rPr>
      </w:pPr>
      <w:proofErr w:type="gramStart"/>
      <w:r w:rsidRPr="00D85672">
        <w:rPr>
          <w:rFonts w:ascii="Times New Roman" w:hAnsi="Times New Roman"/>
          <w:sz w:val="22"/>
          <w:szCs w:val="22"/>
        </w:rPr>
        <w:t>une</w:t>
      </w:r>
      <w:proofErr w:type="gramEnd"/>
      <w:r w:rsidRPr="00D85672">
        <w:rPr>
          <w:rFonts w:ascii="Times New Roman" w:hAnsi="Times New Roman"/>
          <w:sz w:val="22"/>
          <w:szCs w:val="22"/>
        </w:rPr>
        <w:t xml:space="preserve"> offre financière pour le service après-vente pour</w:t>
      </w:r>
      <w:r w:rsidRPr="00D85672">
        <w:rPr>
          <w:rFonts w:ascii="Times New Roman" w:hAnsi="Times New Roman"/>
          <w:sz w:val="22"/>
          <w:szCs w:val="22"/>
          <w:shd w:val="clear" w:color="auto" w:fill="C0C0C0"/>
        </w:rPr>
        <w:t xml:space="preserve"> </w:t>
      </w:r>
      <w:r w:rsidR="00C65062" w:rsidRPr="00D85672">
        <w:rPr>
          <w:rFonts w:ascii="Times New Roman" w:hAnsi="Times New Roman"/>
          <w:sz w:val="22"/>
          <w:szCs w:val="22"/>
          <w:shd w:val="clear" w:color="auto" w:fill="C0C0C0"/>
        </w:rPr>
        <w:t>deux (2)</w:t>
      </w:r>
      <w:r w:rsidRPr="00D85672">
        <w:rPr>
          <w:rFonts w:ascii="Times New Roman" w:hAnsi="Times New Roman"/>
          <w:sz w:val="22"/>
          <w:szCs w:val="22"/>
          <w:shd w:val="clear" w:color="auto" w:fill="C0C0C0"/>
        </w:rPr>
        <w:t xml:space="preserve"> </w:t>
      </w:r>
      <w:proofErr w:type="gramStart"/>
      <w:r w:rsidRPr="00D85672">
        <w:rPr>
          <w:rFonts w:ascii="Times New Roman" w:hAnsi="Times New Roman"/>
          <w:sz w:val="22"/>
          <w:szCs w:val="22"/>
          <w:shd w:val="clear" w:color="auto" w:fill="C0C0C0"/>
        </w:rPr>
        <w:t>an</w:t>
      </w:r>
      <w:r w:rsidR="00DE67A7">
        <w:rPr>
          <w:rFonts w:ascii="Times New Roman" w:hAnsi="Times New Roman"/>
          <w:sz w:val="22"/>
          <w:szCs w:val="22"/>
        </w:rPr>
        <w:t>s</w:t>
      </w:r>
      <w:r w:rsidRPr="00D85672">
        <w:rPr>
          <w:rFonts w:ascii="Times New Roman" w:hAnsi="Times New Roman"/>
          <w:sz w:val="22"/>
          <w:szCs w:val="22"/>
        </w:rPr>
        <w:t>;</w:t>
      </w:r>
      <w:proofErr w:type="gramEnd"/>
    </w:p>
    <w:p w14:paraId="54B87D26" w14:textId="69B066E3" w:rsidR="0047783A" w:rsidRPr="00D85672" w:rsidRDefault="0047783A" w:rsidP="0047783A">
      <w:pPr>
        <w:numPr>
          <w:ilvl w:val="1"/>
          <w:numId w:val="10"/>
        </w:numPr>
        <w:spacing w:after="0"/>
        <w:ind w:hanging="306"/>
        <w:rPr>
          <w:rFonts w:ascii="Times New Roman" w:hAnsi="Times New Roman"/>
          <w:sz w:val="22"/>
          <w:szCs w:val="22"/>
        </w:rPr>
      </w:pPr>
      <w:proofErr w:type="gramStart"/>
      <w:r w:rsidRPr="00D85672">
        <w:rPr>
          <w:rFonts w:ascii="Times New Roman" w:hAnsi="Times New Roman"/>
          <w:sz w:val="22"/>
          <w:szCs w:val="22"/>
        </w:rPr>
        <w:t>une</w:t>
      </w:r>
      <w:proofErr w:type="gramEnd"/>
      <w:r w:rsidRPr="00D85672">
        <w:rPr>
          <w:rFonts w:ascii="Times New Roman" w:hAnsi="Times New Roman"/>
          <w:sz w:val="22"/>
          <w:szCs w:val="22"/>
        </w:rPr>
        <w:t xml:space="preserve"> offre financière pour la </w:t>
      </w:r>
      <w:proofErr w:type="gramStart"/>
      <w:r w:rsidRPr="00D85672">
        <w:rPr>
          <w:rFonts w:ascii="Times New Roman" w:hAnsi="Times New Roman"/>
          <w:sz w:val="22"/>
          <w:szCs w:val="22"/>
        </w:rPr>
        <w:t>formation;</w:t>
      </w:r>
      <w:proofErr w:type="gramEnd"/>
    </w:p>
    <w:p w14:paraId="44A5F5D8" w14:textId="2F681092" w:rsidR="00235BB9" w:rsidRPr="00D85672" w:rsidRDefault="0047783A" w:rsidP="0047783A">
      <w:pPr>
        <w:numPr>
          <w:ilvl w:val="1"/>
          <w:numId w:val="10"/>
        </w:numPr>
        <w:spacing w:after="0"/>
        <w:ind w:hanging="306"/>
        <w:rPr>
          <w:rFonts w:ascii="Times New Roman" w:hAnsi="Times New Roman"/>
          <w:sz w:val="22"/>
          <w:szCs w:val="22"/>
        </w:rPr>
      </w:pPr>
      <w:proofErr w:type="gramStart"/>
      <w:r w:rsidRPr="00D85672">
        <w:rPr>
          <w:rFonts w:ascii="Times New Roman" w:hAnsi="Times New Roman"/>
          <w:sz w:val="22"/>
          <w:szCs w:val="22"/>
        </w:rPr>
        <w:t>une</w:t>
      </w:r>
      <w:proofErr w:type="gramEnd"/>
      <w:r w:rsidRPr="00D85672">
        <w:rPr>
          <w:rFonts w:ascii="Times New Roman" w:hAnsi="Times New Roman"/>
          <w:sz w:val="22"/>
          <w:szCs w:val="22"/>
        </w:rPr>
        <w:t xml:space="preserve"> offre financière pour les services </w:t>
      </w:r>
      <w:r w:rsidR="00DE67A7" w:rsidRPr="00D85672">
        <w:rPr>
          <w:rFonts w:ascii="Times New Roman" w:hAnsi="Times New Roman"/>
          <w:sz w:val="22"/>
          <w:szCs w:val="22"/>
        </w:rPr>
        <w:t>auxiliaires ;</w:t>
      </w:r>
    </w:p>
    <w:p w14:paraId="2DD52D8C" w14:textId="46507F6A" w:rsidR="005F7DC0" w:rsidRPr="00D85672" w:rsidRDefault="005F7DC0" w:rsidP="0047783A">
      <w:pPr>
        <w:numPr>
          <w:ilvl w:val="1"/>
          <w:numId w:val="10"/>
        </w:numPr>
        <w:spacing w:after="0"/>
        <w:ind w:hanging="306"/>
        <w:rPr>
          <w:rFonts w:ascii="Times New Roman" w:hAnsi="Times New Roman"/>
          <w:sz w:val="22"/>
          <w:szCs w:val="22"/>
        </w:rPr>
      </w:pPr>
      <w:proofErr w:type="gramStart"/>
      <w:r w:rsidRPr="00D85672">
        <w:rPr>
          <w:rFonts w:ascii="Times New Roman" w:hAnsi="Times New Roman"/>
          <w:sz w:val="22"/>
          <w:szCs w:val="22"/>
        </w:rPr>
        <w:t>une</w:t>
      </w:r>
      <w:proofErr w:type="gramEnd"/>
      <w:r w:rsidRPr="00D85672">
        <w:rPr>
          <w:rFonts w:ascii="Times New Roman" w:hAnsi="Times New Roman"/>
          <w:sz w:val="22"/>
          <w:szCs w:val="22"/>
        </w:rPr>
        <w:t xml:space="preserve"> offre financière pour tout autre montant non directement </w:t>
      </w:r>
      <w:proofErr w:type="gramStart"/>
      <w:r w:rsidRPr="00D85672">
        <w:rPr>
          <w:rFonts w:ascii="Times New Roman" w:hAnsi="Times New Roman"/>
          <w:sz w:val="22"/>
          <w:szCs w:val="22"/>
        </w:rPr>
        <w:t>lié</w:t>
      </w:r>
      <w:proofErr w:type="gramEnd"/>
      <w:r w:rsidRPr="00D85672">
        <w:rPr>
          <w:rFonts w:ascii="Times New Roman" w:hAnsi="Times New Roman"/>
          <w:sz w:val="22"/>
          <w:szCs w:val="22"/>
        </w:rPr>
        <w:t xml:space="preserve"> à la valeur intrinsèque du produit en question (tel que notamment, mais pas uniquement, les droits et taxes à l’importation, les dédouanements à l’entrée ou à l’importation, les frais de transport)].</w:t>
      </w:r>
    </w:p>
    <w:p w14:paraId="664111AC" w14:textId="631FF7FA" w:rsidR="0047783A" w:rsidRDefault="0047783A" w:rsidP="0047783A">
      <w:pPr>
        <w:spacing w:after="0"/>
        <w:ind w:left="567"/>
        <w:rPr>
          <w:rFonts w:ascii="Times New Roman" w:hAnsi="Times New Roman"/>
          <w:sz w:val="22"/>
          <w:szCs w:val="22"/>
        </w:rPr>
      </w:pPr>
      <w:r>
        <w:rPr>
          <w:rFonts w:ascii="Times New Roman" w:hAnsi="Times New Roman"/>
          <w:sz w:val="22"/>
          <w:szCs w:val="22"/>
        </w:rPr>
        <w:t>Cette offre financière doit être présentée au moyen du modèle fourni (annexe IV*, Budget ventilé), des précisions pouvant être ajoutées sur des feuilles séparées, si nécessaire.</w:t>
      </w:r>
    </w:p>
    <w:p w14:paraId="3A6CE24F" w14:textId="77777777" w:rsidR="0047783A" w:rsidRPr="00E82463" w:rsidRDefault="0047783A" w:rsidP="00C348C0">
      <w:pPr>
        <w:keepNext/>
        <w:keepLines/>
        <w:spacing w:after="0"/>
        <w:ind w:left="567"/>
        <w:rPr>
          <w:rFonts w:ascii="Times New Roman" w:hAnsi="Times New Roman"/>
          <w:b/>
          <w:sz w:val="22"/>
          <w:szCs w:val="22"/>
        </w:rPr>
      </w:pPr>
      <w:r>
        <w:rPr>
          <w:rFonts w:ascii="Times New Roman" w:hAnsi="Times New Roman"/>
          <w:b/>
          <w:sz w:val="22"/>
          <w:szCs w:val="22"/>
        </w:rPr>
        <w:t>Partie </w:t>
      </w:r>
      <w:proofErr w:type="gramStart"/>
      <w:r>
        <w:rPr>
          <w:rFonts w:ascii="Times New Roman" w:hAnsi="Times New Roman"/>
          <w:b/>
          <w:sz w:val="22"/>
          <w:szCs w:val="22"/>
        </w:rPr>
        <w:t>3:</w:t>
      </w:r>
      <w:proofErr w:type="gramEnd"/>
      <w:r>
        <w:rPr>
          <w:rFonts w:ascii="Times New Roman" w:hAnsi="Times New Roman"/>
          <w:b/>
          <w:sz w:val="22"/>
          <w:szCs w:val="22"/>
        </w:rPr>
        <w:t xml:space="preserve"> documentation</w:t>
      </w:r>
    </w:p>
    <w:p w14:paraId="7E32CC42" w14:textId="77777777" w:rsidR="0047783A" w:rsidRPr="00E82463" w:rsidRDefault="0047783A" w:rsidP="00C348C0">
      <w:pPr>
        <w:keepNext/>
        <w:keepLines/>
        <w:tabs>
          <w:tab w:val="left" w:pos="993"/>
        </w:tabs>
        <w:spacing w:after="0"/>
        <w:ind w:left="567"/>
        <w:rPr>
          <w:rFonts w:ascii="Times New Roman" w:hAnsi="Times New Roman"/>
          <w:sz w:val="22"/>
          <w:szCs w:val="22"/>
        </w:rPr>
      </w:pPr>
      <w:r>
        <w:rPr>
          <w:rFonts w:ascii="Times New Roman" w:hAnsi="Times New Roman"/>
          <w:sz w:val="22"/>
          <w:szCs w:val="22"/>
        </w:rPr>
        <w:t>À fournir au moyen des modèles joints*:</w:t>
      </w:r>
    </w:p>
    <w:p w14:paraId="2286F8CA" w14:textId="5C2108DB" w:rsidR="0047783A" w:rsidRPr="00D85672" w:rsidRDefault="0047783A" w:rsidP="00AD0E41">
      <w:pPr>
        <w:numPr>
          <w:ilvl w:val="0"/>
          <w:numId w:val="6"/>
        </w:numPr>
        <w:tabs>
          <w:tab w:val="num" w:pos="851"/>
        </w:tabs>
        <w:ind w:left="851"/>
        <w:jc w:val="both"/>
        <w:rPr>
          <w:rFonts w:ascii="Times New Roman" w:hAnsi="Times New Roman"/>
          <w:sz w:val="22"/>
          <w:szCs w:val="22"/>
        </w:rPr>
      </w:pPr>
      <w:r w:rsidRPr="00972CF5">
        <w:rPr>
          <w:rFonts w:ascii="Times New Roman" w:hAnsi="Times New Roman"/>
          <w:sz w:val="22"/>
          <w:szCs w:val="22"/>
        </w:rPr>
        <w:t>Le</w:t>
      </w:r>
      <w:proofErr w:type="gramStart"/>
      <w:r w:rsidRPr="00972CF5">
        <w:rPr>
          <w:rFonts w:ascii="Times New Roman" w:hAnsi="Times New Roman"/>
          <w:sz w:val="22"/>
          <w:szCs w:val="22"/>
        </w:rPr>
        <w:t xml:space="preserve"> «bordereau</w:t>
      </w:r>
      <w:proofErr w:type="gramEnd"/>
      <w:r w:rsidRPr="00972CF5">
        <w:rPr>
          <w:rFonts w:ascii="Times New Roman" w:hAnsi="Times New Roman"/>
          <w:sz w:val="22"/>
          <w:szCs w:val="22"/>
        </w:rPr>
        <w:t xml:space="preserve"> de soumission pour un marché de </w:t>
      </w:r>
      <w:r w:rsidR="00DE67A7" w:rsidRPr="00972CF5">
        <w:rPr>
          <w:rFonts w:ascii="Times New Roman" w:hAnsi="Times New Roman"/>
          <w:sz w:val="22"/>
          <w:szCs w:val="22"/>
        </w:rPr>
        <w:t>fournitures »</w:t>
      </w:r>
      <w:r w:rsidRPr="00972CF5">
        <w:rPr>
          <w:rFonts w:ascii="Times New Roman" w:hAnsi="Times New Roman"/>
          <w:sz w:val="22"/>
          <w:szCs w:val="22"/>
        </w:rPr>
        <w:t xml:space="preserve"> ainsi que son annexe 1 </w:t>
      </w:r>
      <w:r w:rsidR="00DE67A7" w:rsidRPr="00972CF5">
        <w:rPr>
          <w:rFonts w:ascii="Times New Roman" w:hAnsi="Times New Roman"/>
          <w:sz w:val="22"/>
          <w:szCs w:val="22"/>
        </w:rPr>
        <w:t>(«</w:t>
      </w:r>
      <w:r w:rsidR="00DE67A7" w:rsidRPr="00972CF5">
        <w:rPr>
          <w:rFonts w:ascii="Times New Roman" w:hAnsi="Times New Roman"/>
          <w:b/>
          <w:sz w:val="22"/>
          <w:szCs w:val="22"/>
        </w:rPr>
        <w:t xml:space="preserve"> Déclaration</w:t>
      </w:r>
      <w:r w:rsidRPr="00972CF5">
        <w:rPr>
          <w:rFonts w:ascii="Times New Roman" w:hAnsi="Times New Roman"/>
          <w:b/>
          <w:sz w:val="22"/>
          <w:szCs w:val="22"/>
        </w:rPr>
        <w:t xml:space="preserve"> sur l’honneur relative aux critères d’exclusion et de </w:t>
      </w:r>
      <w:r w:rsidR="00DE67A7" w:rsidRPr="00972CF5">
        <w:rPr>
          <w:rFonts w:ascii="Times New Roman" w:hAnsi="Times New Roman"/>
          <w:b/>
          <w:sz w:val="22"/>
          <w:szCs w:val="22"/>
        </w:rPr>
        <w:t>sélection</w:t>
      </w:r>
      <w:r w:rsidR="00DE67A7" w:rsidRPr="00972CF5">
        <w:rPr>
          <w:rFonts w:ascii="Times New Roman" w:hAnsi="Times New Roman"/>
          <w:sz w:val="22"/>
          <w:szCs w:val="22"/>
        </w:rPr>
        <w:t xml:space="preserve"> »</w:t>
      </w:r>
      <w:r w:rsidRPr="00972CF5">
        <w:rPr>
          <w:rFonts w:ascii="Times New Roman" w:hAnsi="Times New Roman"/>
          <w:sz w:val="22"/>
          <w:szCs w:val="22"/>
        </w:rPr>
        <w:t>), tous deux dûment complétés, y compris la déclaration du soumissionnaire, point 7 (pour chaque membre, en cas de consortium</w:t>
      </w:r>
      <w:r w:rsidR="00B4624E" w:rsidRPr="00972CF5">
        <w:rPr>
          <w:rFonts w:ascii="Times New Roman" w:hAnsi="Times New Roman"/>
          <w:sz w:val="22"/>
          <w:szCs w:val="22"/>
        </w:rPr>
        <w:t xml:space="preserve"> et pour chaque entité</w:t>
      </w:r>
      <w:r w:rsidR="0044090C" w:rsidRPr="00972CF5">
        <w:rPr>
          <w:rFonts w:ascii="Times New Roman" w:hAnsi="Times New Roman"/>
          <w:sz w:val="22"/>
          <w:szCs w:val="22"/>
        </w:rPr>
        <w:t xml:space="preserve"> pourvoyeuse de capacité ou sous-traitant (le cas échéant</w:t>
      </w:r>
      <w:r w:rsidR="0044090C" w:rsidRPr="00D85672">
        <w:rPr>
          <w:rFonts w:ascii="Times New Roman" w:hAnsi="Times New Roman"/>
          <w:sz w:val="22"/>
          <w:szCs w:val="22"/>
        </w:rPr>
        <w:t>)</w:t>
      </w:r>
      <w:r w:rsidRPr="00D85672">
        <w:rPr>
          <w:rFonts w:ascii="Times New Roman" w:hAnsi="Times New Roman"/>
          <w:sz w:val="22"/>
          <w:szCs w:val="22"/>
        </w:rPr>
        <w:t xml:space="preserve">). Une copie de la déclaration originale signée doit être fournie. L’original doit être conservé par le soumissionnaire et peut être demandé par le pouvoir adjudicateur.] </w:t>
      </w:r>
    </w:p>
    <w:p w14:paraId="2F0314E8" w14:textId="77777777" w:rsidR="0047783A" w:rsidRPr="00E82463" w:rsidRDefault="0047783A" w:rsidP="007C6835">
      <w:pPr>
        <w:numPr>
          <w:ilvl w:val="0"/>
          <w:numId w:val="6"/>
        </w:numPr>
        <w:spacing w:before="0" w:after="240"/>
        <w:jc w:val="both"/>
        <w:rPr>
          <w:rFonts w:ascii="Times New Roman" w:hAnsi="Times New Roman"/>
          <w:sz w:val="22"/>
          <w:szCs w:val="22"/>
        </w:rPr>
      </w:pPr>
      <w:r>
        <w:rPr>
          <w:rFonts w:ascii="Times New Roman" w:hAnsi="Times New Roman"/>
          <w:sz w:val="22"/>
          <w:szCs w:val="22"/>
        </w:rPr>
        <w:t>Les informations bancaires relatives au compte sur lequel les paiements devront être effectués (formulaire</w:t>
      </w:r>
      <w:proofErr w:type="gramStart"/>
      <w:r>
        <w:rPr>
          <w:rFonts w:ascii="Times New Roman" w:hAnsi="Times New Roman"/>
          <w:sz w:val="22"/>
          <w:szCs w:val="22"/>
        </w:rPr>
        <w:t xml:space="preserve"> «signalétique</w:t>
      </w:r>
      <w:proofErr w:type="gramEnd"/>
      <w:r>
        <w:rPr>
          <w:rFonts w:ascii="Times New Roman" w:hAnsi="Times New Roman"/>
          <w:sz w:val="22"/>
          <w:szCs w:val="22"/>
        </w:rPr>
        <w:t xml:space="preserve"> </w:t>
      </w:r>
      <w:proofErr w:type="gramStart"/>
      <w:r>
        <w:rPr>
          <w:rFonts w:ascii="Times New Roman" w:hAnsi="Times New Roman"/>
          <w:sz w:val="22"/>
          <w:szCs w:val="22"/>
        </w:rPr>
        <w:t>financier»</w:t>
      </w:r>
      <w:proofErr w:type="gramEnd"/>
      <w:r>
        <w:rPr>
          <w:rFonts w:ascii="Times New Roman" w:hAnsi="Times New Roman"/>
          <w:sz w:val="22"/>
          <w:szCs w:val="22"/>
        </w:rPr>
        <w:t xml:space="preserve"> — document c4o1_fif_fr)</w:t>
      </w:r>
      <w:r>
        <w:rPr>
          <w:rFonts w:ascii="Times New Roman" w:hAnsi="Times New Roman"/>
        </w:rPr>
        <w:t xml:space="preserve"> (</w:t>
      </w:r>
      <w:r>
        <w:rPr>
          <w:rFonts w:ascii="Times New Roman" w:hAnsi="Times New Roman"/>
          <w:sz w:val="22"/>
          <w:szCs w:val="22"/>
        </w:rPr>
        <w:t>les soumissionnaires qui ont déjà signé un autre contrat avec la Commission européenne peuvent fournir à la place du formulaire</w:t>
      </w:r>
      <w:proofErr w:type="gramStart"/>
      <w:r>
        <w:rPr>
          <w:rFonts w:ascii="Times New Roman" w:hAnsi="Times New Roman"/>
          <w:sz w:val="22"/>
          <w:szCs w:val="22"/>
        </w:rPr>
        <w:t xml:space="preserve"> «signalétique</w:t>
      </w:r>
      <w:proofErr w:type="gramEnd"/>
      <w:r>
        <w:rPr>
          <w:rFonts w:ascii="Times New Roman" w:hAnsi="Times New Roman"/>
          <w:sz w:val="22"/>
          <w:szCs w:val="22"/>
        </w:rPr>
        <w:t xml:space="preserve"> </w:t>
      </w:r>
      <w:proofErr w:type="gramStart"/>
      <w:r>
        <w:rPr>
          <w:rFonts w:ascii="Times New Roman" w:hAnsi="Times New Roman"/>
          <w:sz w:val="22"/>
          <w:szCs w:val="22"/>
        </w:rPr>
        <w:t>financier»</w:t>
      </w:r>
      <w:proofErr w:type="gramEnd"/>
      <w:r>
        <w:rPr>
          <w:rFonts w:ascii="Times New Roman" w:hAnsi="Times New Roman"/>
          <w:sz w:val="22"/>
          <w:szCs w:val="22"/>
        </w:rPr>
        <w:t xml:space="preserve"> le numéro du signalétique financier ou une copie du formulaire qu’ils ont fourni à cette occasion, à condition qu’aucun changement n’ait eu lieu entre-temps</w:t>
      </w:r>
      <w:r>
        <w:rPr>
          <w:rFonts w:ascii="Times New Roman" w:hAnsi="Times New Roman"/>
        </w:rPr>
        <w:t>).</w:t>
      </w:r>
    </w:p>
    <w:p w14:paraId="2445D29D" w14:textId="77777777" w:rsidR="0047783A" w:rsidRPr="00E82463" w:rsidRDefault="0047783A" w:rsidP="007C6835">
      <w:pPr>
        <w:numPr>
          <w:ilvl w:val="0"/>
          <w:numId w:val="6"/>
        </w:numPr>
        <w:jc w:val="both"/>
        <w:rPr>
          <w:rFonts w:ascii="Times New Roman" w:hAnsi="Times New Roman"/>
          <w:sz w:val="22"/>
          <w:szCs w:val="22"/>
        </w:rPr>
      </w:pPr>
      <w:r>
        <w:rPr>
          <w:rFonts w:ascii="Times New Roman" w:hAnsi="Times New Roman"/>
          <w:sz w:val="22"/>
          <w:szCs w:val="22"/>
        </w:rPr>
        <w:t>Le formulaire</w:t>
      </w:r>
      <w:proofErr w:type="gramStart"/>
      <w:r>
        <w:rPr>
          <w:rFonts w:ascii="Times New Roman" w:hAnsi="Times New Roman"/>
          <w:sz w:val="22"/>
          <w:szCs w:val="22"/>
        </w:rPr>
        <w:t xml:space="preserve"> «entité</w:t>
      </w:r>
      <w:proofErr w:type="gramEnd"/>
      <w:r>
        <w:rPr>
          <w:rFonts w:ascii="Times New Roman" w:hAnsi="Times New Roman"/>
          <w:sz w:val="22"/>
          <w:szCs w:val="22"/>
        </w:rPr>
        <w:t xml:space="preserve"> </w:t>
      </w:r>
      <w:proofErr w:type="gramStart"/>
      <w:r>
        <w:rPr>
          <w:rFonts w:ascii="Times New Roman" w:hAnsi="Times New Roman"/>
          <w:sz w:val="22"/>
          <w:szCs w:val="22"/>
        </w:rPr>
        <w:t>légale»</w:t>
      </w:r>
      <w:proofErr w:type="gramEnd"/>
      <w:r>
        <w:rPr>
          <w:rFonts w:ascii="Times New Roman" w:hAnsi="Times New Roman"/>
          <w:sz w:val="22"/>
          <w:szCs w:val="22"/>
        </w:rPr>
        <w:t xml:space="preserve"> (document c4o2_lefind_fr) et les pièces justificatives (les soumissionnaires qui ont déjà signé un autre contrat avec la Commission européenne peuvent fournir à la place du formulaire</w:t>
      </w:r>
      <w:proofErr w:type="gramStart"/>
      <w:r>
        <w:rPr>
          <w:rFonts w:ascii="Times New Roman" w:hAnsi="Times New Roman"/>
          <w:sz w:val="22"/>
          <w:szCs w:val="22"/>
        </w:rPr>
        <w:t xml:space="preserve"> «entité</w:t>
      </w:r>
      <w:proofErr w:type="gramEnd"/>
      <w:r>
        <w:rPr>
          <w:rFonts w:ascii="Times New Roman" w:hAnsi="Times New Roman"/>
          <w:sz w:val="22"/>
          <w:szCs w:val="22"/>
        </w:rPr>
        <w:t xml:space="preserve"> </w:t>
      </w:r>
      <w:proofErr w:type="gramStart"/>
      <w:r>
        <w:rPr>
          <w:rFonts w:ascii="Times New Roman" w:hAnsi="Times New Roman"/>
          <w:sz w:val="22"/>
          <w:szCs w:val="22"/>
        </w:rPr>
        <w:t>légale»</w:t>
      </w:r>
      <w:proofErr w:type="gramEnd"/>
      <w:r>
        <w:rPr>
          <w:rFonts w:ascii="Times New Roman" w:hAnsi="Times New Roman"/>
          <w:sz w:val="22"/>
          <w:szCs w:val="22"/>
        </w:rPr>
        <w:t xml:space="preserve"> le numéro de leur entité légale ou une copie du </w:t>
      </w:r>
      <w:r>
        <w:rPr>
          <w:rFonts w:ascii="Times New Roman" w:hAnsi="Times New Roman"/>
          <w:sz w:val="22"/>
          <w:szCs w:val="22"/>
        </w:rPr>
        <w:lastRenderedPageBreak/>
        <w:t>formulaire</w:t>
      </w:r>
      <w:proofErr w:type="gramStart"/>
      <w:r>
        <w:rPr>
          <w:rFonts w:ascii="Times New Roman" w:hAnsi="Times New Roman"/>
          <w:sz w:val="22"/>
          <w:szCs w:val="22"/>
        </w:rPr>
        <w:t xml:space="preserve"> «entité</w:t>
      </w:r>
      <w:proofErr w:type="gramEnd"/>
      <w:r>
        <w:rPr>
          <w:rFonts w:ascii="Times New Roman" w:hAnsi="Times New Roman"/>
          <w:sz w:val="22"/>
          <w:szCs w:val="22"/>
        </w:rPr>
        <w:t xml:space="preserve"> </w:t>
      </w:r>
      <w:proofErr w:type="gramStart"/>
      <w:r>
        <w:rPr>
          <w:rFonts w:ascii="Times New Roman" w:hAnsi="Times New Roman"/>
          <w:sz w:val="22"/>
          <w:szCs w:val="22"/>
        </w:rPr>
        <w:t>légale»</w:t>
      </w:r>
      <w:proofErr w:type="gramEnd"/>
      <w:r>
        <w:rPr>
          <w:rFonts w:ascii="Times New Roman" w:hAnsi="Times New Roman"/>
          <w:sz w:val="22"/>
          <w:szCs w:val="22"/>
        </w:rPr>
        <w:t xml:space="preserve"> qu’ils ont fourni à cette occasion, à condition que leur statut juridique n’ait pas changé entre-temps).</w:t>
      </w:r>
    </w:p>
    <w:p w14:paraId="25AD8BB5" w14:textId="77777777" w:rsidR="0047783A" w:rsidRPr="00E82463" w:rsidRDefault="0047783A" w:rsidP="0047783A">
      <w:pPr>
        <w:tabs>
          <w:tab w:val="left" w:pos="993"/>
        </w:tabs>
        <w:spacing w:after="0"/>
        <w:ind w:left="567"/>
        <w:rPr>
          <w:rFonts w:ascii="Times New Roman" w:hAnsi="Times New Roman"/>
          <w:sz w:val="22"/>
          <w:szCs w:val="22"/>
        </w:rPr>
      </w:pPr>
      <w:r>
        <w:rPr>
          <w:rFonts w:ascii="Times New Roman" w:hAnsi="Times New Roman"/>
          <w:sz w:val="22"/>
          <w:szCs w:val="22"/>
        </w:rPr>
        <w:t xml:space="preserve">À fournir sans contrainte de </w:t>
      </w:r>
      <w:proofErr w:type="gramStart"/>
      <w:r>
        <w:rPr>
          <w:rFonts w:ascii="Times New Roman" w:hAnsi="Times New Roman"/>
          <w:sz w:val="22"/>
          <w:szCs w:val="22"/>
        </w:rPr>
        <w:t>format:</w:t>
      </w:r>
      <w:proofErr w:type="gramEnd"/>
    </w:p>
    <w:p w14:paraId="0DD55ADA" w14:textId="77777777" w:rsidR="0047783A" w:rsidRPr="00E82463" w:rsidRDefault="0047783A" w:rsidP="00AC07D4">
      <w:pPr>
        <w:numPr>
          <w:ilvl w:val="0"/>
          <w:numId w:val="6"/>
        </w:numPr>
        <w:tabs>
          <w:tab w:val="num" w:pos="1134"/>
        </w:tabs>
        <w:spacing w:after="0"/>
        <w:ind w:left="1135" w:hanging="568"/>
        <w:jc w:val="both"/>
        <w:rPr>
          <w:rFonts w:ascii="Times New Roman" w:hAnsi="Times New Roman"/>
          <w:sz w:val="22"/>
          <w:szCs w:val="22"/>
        </w:rPr>
      </w:pPr>
      <w:r>
        <w:rPr>
          <w:rFonts w:ascii="Times New Roman" w:hAnsi="Times New Roman"/>
          <w:sz w:val="22"/>
          <w:szCs w:val="22"/>
        </w:rPr>
        <w:t>Une description des conditions de la garantie, qui doivent être conformes aux conditions énoncées à l’article 32 des conditions générales.</w:t>
      </w:r>
    </w:p>
    <w:p w14:paraId="4D0B043C" w14:textId="13FE1E5A" w:rsidR="0047783A" w:rsidRPr="00DE67A7" w:rsidRDefault="0047783A" w:rsidP="00AC07D4">
      <w:pPr>
        <w:numPr>
          <w:ilvl w:val="0"/>
          <w:numId w:val="6"/>
        </w:numPr>
        <w:tabs>
          <w:tab w:val="num" w:pos="1134"/>
        </w:tabs>
        <w:spacing w:after="0"/>
        <w:ind w:left="1135" w:hanging="568"/>
        <w:jc w:val="both"/>
        <w:rPr>
          <w:rFonts w:ascii="Times New Roman" w:hAnsi="Times New Roman"/>
          <w:sz w:val="22"/>
          <w:szCs w:val="22"/>
        </w:rPr>
      </w:pPr>
      <w:r w:rsidRPr="00DE67A7">
        <w:rPr>
          <w:rFonts w:ascii="Times New Roman" w:hAnsi="Times New Roman"/>
          <w:sz w:val="22"/>
          <w:szCs w:val="22"/>
          <w:shd w:val="clear" w:color="auto" w:fill="D9D9D9"/>
        </w:rPr>
        <w:t>Une description de l’organisation de la garantie du produit, conformément aux conditions énoncées à l’article 32 des conditions particulières.</w:t>
      </w:r>
    </w:p>
    <w:p w14:paraId="3AAE3DA0" w14:textId="360D3EC8" w:rsidR="0047783A" w:rsidRPr="00095DB8" w:rsidRDefault="00E27B37" w:rsidP="00224D3B">
      <w:pPr>
        <w:numPr>
          <w:ilvl w:val="0"/>
          <w:numId w:val="6"/>
        </w:numPr>
        <w:tabs>
          <w:tab w:val="num" w:pos="1134"/>
        </w:tabs>
        <w:spacing w:after="0"/>
        <w:jc w:val="both"/>
        <w:rPr>
          <w:rFonts w:ascii="Times New Roman" w:hAnsi="Times New Roman"/>
          <w:sz w:val="22"/>
          <w:szCs w:val="22"/>
        </w:rPr>
      </w:pPr>
      <w:r w:rsidRPr="00095DB8">
        <w:rPr>
          <w:rFonts w:ascii="Times New Roman" w:hAnsi="Times New Roman"/>
          <w:sz w:val="22"/>
          <w:szCs w:val="22"/>
        </w:rPr>
        <w:t>Une déclaration du soumissionnaire attestant l’origine des fournitures (ou un autre moyen de preuve de l’origine).</w:t>
      </w:r>
    </w:p>
    <w:p w14:paraId="394677DE" w14:textId="7B778FF6" w:rsidR="000D66C0" w:rsidRPr="00DE67A7" w:rsidRDefault="0047783A" w:rsidP="00DE67A7">
      <w:pPr>
        <w:numPr>
          <w:ilvl w:val="0"/>
          <w:numId w:val="6"/>
        </w:numPr>
        <w:tabs>
          <w:tab w:val="num" w:pos="1134"/>
        </w:tabs>
        <w:spacing w:after="0"/>
        <w:ind w:left="1135" w:hanging="568"/>
        <w:jc w:val="both"/>
        <w:rPr>
          <w:rFonts w:ascii="Times New Roman" w:hAnsi="Times New Roman"/>
          <w:sz w:val="22"/>
          <w:szCs w:val="22"/>
        </w:rPr>
      </w:pPr>
      <w:r>
        <w:rPr>
          <w:rFonts w:ascii="Times New Roman" w:hAnsi="Times New Roman"/>
          <w:sz w:val="22"/>
          <w:szCs w:val="22"/>
        </w:rPr>
        <w:t xml:space="preserve">Signature dûment </w:t>
      </w:r>
      <w:r w:rsidR="00DE67A7">
        <w:rPr>
          <w:rFonts w:ascii="Times New Roman" w:hAnsi="Times New Roman"/>
          <w:sz w:val="22"/>
          <w:szCs w:val="22"/>
        </w:rPr>
        <w:t>autorisée :</w:t>
      </w:r>
      <w:r>
        <w:rPr>
          <w:rFonts w:ascii="Times New Roman" w:hAnsi="Times New Roman"/>
          <w:sz w:val="22"/>
          <w:szCs w:val="22"/>
        </w:rPr>
        <w:t xml:space="preserve"> un document officiel (statuts, procuration, déclaration devant notaire,</w:t>
      </w:r>
      <w:r w:rsidR="00E160B3">
        <w:rPr>
          <w:rFonts w:ascii="Times New Roman" w:hAnsi="Times New Roman"/>
          <w:sz w:val="22"/>
          <w:szCs w:val="22"/>
        </w:rPr>
        <w:t> </w:t>
      </w:r>
      <w:r>
        <w:rPr>
          <w:rFonts w:ascii="Times New Roman" w:hAnsi="Times New Roman"/>
          <w:sz w:val="22"/>
          <w:szCs w:val="22"/>
        </w:rPr>
        <w:t>etc.) prouvant que la personne qui signe au nom de la société, de l’entreprise commune ou du consortium est habilitée à le faire.</w:t>
      </w:r>
    </w:p>
    <w:p w14:paraId="5F7151C5" w14:textId="77777777" w:rsidR="0047783A" w:rsidRPr="00E82463" w:rsidRDefault="0047783A" w:rsidP="0047783A">
      <w:pPr>
        <w:spacing w:after="0"/>
        <w:ind w:left="567"/>
        <w:jc w:val="both"/>
        <w:outlineLvl w:val="0"/>
        <w:rPr>
          <w:rFonts w:ascii="Times New Roman" w:hAnsi="Times New Roman"/>
          <w:sz w:val="22"/>
          <w:szCs w:val="22"/>
        </w:rPr>
      </w:pPr>
      <w:proofErr w:type="gramStart"/>
      <w:r>
        <w:rPr>
          <w:rFonts w:ascii="Times New Roman" w:hAnsi="Times New Roman"/>
          <w:sz w:val="22"/>
          <w:szCs w:val="22"/>
        </w:rPr>
        <w:t>Remarques:</w:t>
      </w:r>
      <w:proofErr w:type="gramEnd"/>
    </w:p>
    <w:p w14:paraId="195ACF68" w14:textId="77777777" w:rsidR="0047783A" w:rsidRPr="00E82463" w:rsidRDefault="0047783A" w:rsidP="0047783A">
      <w:pPr>
        <w:spacing w:after="0"/>
        <w:ind w:left="567"/>
        <w:rPr>
          <w:rFonts w:ascii="Times New Roman" w:hAnsi="Times New Roman"/>
          <w:sz w:val="22"/>
          <w:szCs w:val="22"/>
        </w:rPr>
      </w:pPr>
      <w:r>
        <w:rPr>
          <w:rFonts w:ascii="Times New Roman" w:hAnsi="Times New Roman"/>
          <w:sz w:val="22"/>
          <w:szCs w:val="22"/>
        </w:rPr>
        <w:t>Les soumissionnaires sont priés de respecter cet ordre de présentation.</w:t>
      </w:r>
    </w:p>
    <w:p w14:paraId="4BD37E48" w14:textId="1999DA3E" w:rsidR="0047783A" w:rsidRDefault="0047783A" w:rsidP="0047783A">
      <w:pPr>
        <w:ind w:left="567"/>
        <w:rPr>
          <w:rFonts w:ascii="Times New Roman" w:hAnsi="Times New Roman"/>
          <w:snapToGrid/>
          <w:color w:val="0000FF"/>
          <w:sz w:val="22"/>
          <w:szCs w:val="22"/>
          <w:u w:val="single"/>
        </w:rPr>
      </w:pPr>
      <w:r>
        <w:rPr>
          <w:rFonts w:ascii="Times New Roman" w:hAnsi="Times New Roman"/>
          <w:sz w:val="22"/>
          <w:szCs w:val="22"/>
        </w:rPr>
        <w:t xml:space="preserve">Le terme annexe* se réfère aux modèles joints au dossier d’appel d’offres. Ces modèles sont également disponibles à l’adresse </w:t>
      </w:r>
      <w:proofErr w:type="gramStart"/>
      <w:r>
        <w:rPr>
          <w:rFonts w:ascii="Times New Roman" w:hAnsi="Times New Roman"/>
          <w:sz w:val="22"/>
          <w:szCs w:val="22"/>
        </w:rPr>
        <w:t>suivante:</w:t>
      </w:r>
      <w:proofErr w:type="gramEnd"/>
      <w:r>
        <w:rPr>
          <w:rFonts w:ascii="Times New Roman" w:hAnsi="Times New Roman"/>
          <w:sz w:val="22"/>
          <w:szCs w:val="22"/>
        </w:rPr>
        <w:t xml:space="preserve"> </w:t>
      </w:r>
      <w:hyperlink r:id="rId8" w:anchor="Annexes-AnnexesC(Ch.4):Fournitures" w:history="1">
        <w:r w:rsidR="00761410" w:rsidRPr="002058FE">
          <w:rPr>
            <w:rStyle w:val="Hyperlink"/>
            <w:rFonts w:ascii="Times New Roman" w:hAnsi="Times New Roman"/>
            <w:sz w:val="22"/>
            <w:szCs w:val="22"/>
          </w:rPr>
          <w:t>https://wikis.ec.europa.eu/display/ExactExternalWikiFR/Annexes#Annexes-AnnexesC(Ch.4):Fournitures</w:t>
        </w:r>
      </w:hyperlink>
    </w:p>
    <w:p w14:paraId="0BA05E29" w14:textId="67E16CAF" w:rsidR="0047783A" w:rsidRPr="001A2BC4" w:rsidRDefault="00A633C6" w:rsidP="009956B4">
      <w:pPr>
        <w:pStyle w:val="Heading1"/>
      </w:pPr>
      <w:bookmarkStart w:id="18" w:name="_Toc42488081"/>
      <w:r>
        <w:t>12. Taxes et autres charges</w:t>
      </w:r>
      <w:bookmarkEnd w:id="18"/>
    </w:p>
    <w:p w14:paraId="224901BF" w14:textId="0FFFF718" w:rsidR="0047783A" w:rsidRPr="00E82463" w:rsidRDefault="0047783A" w:rsidP="00AC07D4">
      <w:pPr>
        <w:pStyle w:val="Heading2"/>
        <w:ind w:left="567"/>
        <w:jc w:val="both"/>
        <w:rPr>
          <w:rFonts w:ascii="Times New Roman" w:hAnsi="Times New Roman"/>
          <w:sz w:val="22"/>
        </w:rPr>
      </w:pPr>
      <w:r>
        <w:rPr>
          <w:rFonts w:ascii="Times New Roman" w:hAnsi="Times New Roman"/>
          <w:sz w:val="22"/>
        </w:rPr>
        <w:t xml:space="preserve">Le régime fiscal et douanier applicable est le </w:t>
      </w:r>
      <w:r w:rsidR="00DE67A7">
        <w:rPr>
          <w:rFonts w:ascii="Times New Roman" w:hAnsi="Times New Roman"/>
          <w:sz w:val="22"/>
        </w:rPr>
        <w:t>suivant :</w:t>
      </w:r>
    </w:p>
    <w:p w14:paraId="65D4AE5D" w14:textId="52D05B65" w:rsidR="0077334B" w:rsidRPr="00E82463" w:rsidRDefault="00001B85" w:rsidP="0077334B">
      <w:pPr>
        <w:ind w:left="567"/>
        <w:jc w:val="both"/>
        <w:rPr>
          <w:rFonts w:ascii="Times New Roman" w:hAnsi="Times New Roman"/>
          <w:sz w:val="22"/>
          <w:szCs w:val="22"/>
        </w:rPr>
      </w:pPr>
      <w:r w:rsidRPr="00001B85">
        <w:rPr>
          <w:rFonts w:ascii="Times New Roman" w:hAnsi="Times New Roman"/>
          <w:sz w:val="22"/>
          <w:lang w:val="fr"/>
        </w:rPr>
        <w:t xml:space="preserve">La Commission européenne et la République d’Haïti sont </w:t>
      </w:r>
      <w:proofErr w:type="gramStart"/>
      <w:r w:rsidRPr="00001B85">
        <w:rPr>
          <w:rFonts w:ascii="Times New Roman" w:hAnsi="Times New Roman"/>
          <w:sz w:val="22"/>
          <w:lang w:val="fr"/>
        </w:rPr>
        <w:t>convenus</w:t>
      </w:r>
      <w:proofErr w:type="gramEnd"/>
      <w:r w:rsidRPr="00001B85">
        <w:rPr>
          <w:rFonts w:ascii="Times New Roman" w:hAnsi="Times New Roman"/>
          <w:sz w:val="22"/>
          <w:lang w:val="fr"/>
        </w:rPr>
        <w:t xml:space="preserve"> dans la Convention référencée </w:t>
      </w:r>
      <w:r w:rsidRPr="00001B85">
        <w:rPr>
          <w:rFonts w:ascii="Times New Roman" w:hAnsi="Times New Roman"/>
          <w:b/>
          <w:bCs/>
          <w:sz w:val="22"/>
          <w:lang w:val="fr"/>
        </w:rPr>
        <w:t>FED/20</w:t>
      </w:r>
      <w:r w:rsidR="00D97146">
        <w:rPr>
          <w:rFonts w:ascii="Times New Roman" w:hAnsi="Times New Roman"/>
          <w:b/>
          <w:bCs/>
          <w:sz w:val="22"/>
          <w:lang w:val="fr"/>
        </w:rPr>
        <w:t>23</w:t>
      </w:r>
      <w:r w:rsidRPr="00001B85">
        <w:rPr>
          <w:rFonts w:ascii="Times New Roman" w:hAnsi="Times New Roman"/>
          <w:b/>
          <w:bCs/>
          <w:sz w:val="22"/>
          <w:lang w:val="fr"/>
        </w:rPr>
        <w:t>/</w:t>
      </w:r>
      <w:r w:rsidR="00D97146">
        <w:rPr>
          <w:rFonts w:ascii="Times New Roman" w:hAnsi="Times New Roman"/>
          <w:b/>
          <w:bCs/>
          <w:sz w:val="22"/>
          <w:lang w:val="fr"/>
        </w:rPr>
        <w:t>447</w:t>
      </w:r>
      <w:r w:rsidRPr="00001B85">
        <w:rPr>
          <w:rFonts w:ascii="Times New Roman" w:hAnsi="Times New Roman"/>
          <w:b/>
          <w:bCs/>
          <w:sz w:val="22"/>
          <w:lang w:val="fr"/>
        </w:rPr>
        <w:t>-</w:t>
      </w:r>
      <w:r w:rsidR="00D97146">
        <w:rPr>
          <w:rFonts w:ascii="Times New Roman" w:hAnsi="Times New Roman"/>
          <w:b/>
          <w:bCs/>
          <w:sz w:val="22"/>
          <w:lang w:val="fr"/>
        </w:rPr>
        <w:t>398</w:t>
      </w:r>
      <w:r w:rsidRPr="00001B85">
        <w:rPr>
          <w:rFonts w:ascii="Times New Roman" w:hAnsi="Times New Roman"/>
          <w:sz w:val="22"/>
          <w:lang w:val="fr"/>
        </w:rPr>
        <w:t xml:space="preserve"> d’une exonération totale des taxes suivantes : la taxe sur la valeur ajoutée et les taxes et droits de douanes à l’importation</w:t>
      </w:r>
      <w:r w:rsidRPr="00001B85">
        <w:rPr>
          <w:rFonts w:ascii="Times New Roman" w:hAnsi="Times New Roman"/>
          <w:sz w:val="22"/>
        </w:rPr>
        <w:t xml:space="preserve"> </w:t>
      </w:r>
    </w:p>
    <w:p w14:paraId="390B8495" w14:textId="6E07EDB2" w:rsidR="0047783A" w:rsidRPr="00E82463" w:rsidRDefault="0047783A" w:rsidP="003051AA">
      <w:pPr>
        <w:pStyle w:val="Heading2"/>
        <w:keepNext w:val="0"/>
        <w:tabs>
          <w:tab w:val="num" w:pos="567"/>
        </w:tabs>
        <w:spacing w:before="0"/>
        <w:ind w:left="567"/>
        <w:jc w:val="both"/>
        <w:rPr>
          <w:rFonts w:ascii="Times New Roman" w:hAnsi="Times New Roman"/>
          <w:sz w:val="22"/>
        </w:rPr>
      </w:pPr>
      <w:r w:rsidRPr="003A6B5C">
        <w:rPr>
          <w:rFonts w:ascii="Times New Roman" w:hAnsi="Times New Roman"/>
          <w:sz w:val="22"/>
        </w:rPr>
        <w:t>Les dispositions générales relatives au régime fiscal et douanier sont jointes au dossier d’appel d’offres.]</w:t>
      </w:r>
    </w:p>
    <w:p w14:paraId="09EA0EDD" w14:textId="27BD8675" w:rsidR="0047783A" w:rsidRPr="001A2BC4" w:rsidRDefault="00A633C6" w:rsidP="009956B4">
      <w:pPr>
        <w:pStyle w:val="Heading1"/>
      </w:pPr>
      <w:bookmarkStart w:id="19" w:name="_Toc42488082"/>
      <w:r>
        <w:t>13. Informations complémentaires avant la date limite de soumission des offres</w:t>
      </w:r>
      <w:bookmarkEnd w:id="19"/>
    </w:p>
    <w:p w14:paraId="51A1D679" w14:textId="5796B119" w:rsidR="0047783A" w:rsidRDefault="0047783A" w:rsidP="00AC07D4">
      <w:pPr>
        <w:ind w:left="567"/>
        <w:jc w:val="both"/>
        <w:rPr>
          <w:rFonts w:ascii="Times New Roman" w:hAnsi="Times New Roman"/>
          <w:sz w:val="22"/>
        </w:rPr>
      </w:pPr>
      <w:r>
        <w:rPr>
          <w:rFonts w:ascii="Times New Roman" w:hAnsi="Times New Roman"/>
          <w:sz w:val="22"/>
        </w:rPr>
        <w:t>Le dossier d’appel d’offres doit être suffisamment clair afin d’éviter que les soumissionnaires aient à demander des informations complémentaires en cours de procédure. Si le pouvoir adjudicateur, de sa propre initiative ou en réponse à la demande d’un soumissionnaire potentiel, fournit des informations complémentaires sur le dossier d’appel d’offres, il doit communiquer ces informations par écrit et simultanément à tous les autres soumissionnaires potentiels.</w:t>
      </w:r>
    </w:p>
    <w:p w14:paraId="5935C064" w14:textId="746470F8" w:rsidR="005F7A76" w:rsidRPr="009319BD" w:rsidRDefault="005F7A76" w:rsidP="001A2BC4">
      <w:pPr>
        <w:keepNext/>
        <w:ind w:left="567"/>
        <w:jc w:val="both"/>
      </w:pPr>
      <w:r w:rsidRPr="009319BD">
        <w:rPr>
          <w:rFonts w:ascii="Times New Roman" w:hAnsi="Times New Roman"/>
          <w:sz w:val="22"/>
          <w:szCs w:val="22"/>
        </w:rPr>
        <w:t>Les soumissionnaires peuvent envoyer leurs questions par écrit à l’adresse suivante au plus tard</w:t>
      </w:r>
      <w:r w:rsidRPr="009319BD">
        <w:rPr>
          <w:rFonts w:ascii="Times New Roman" w:hAnsi="Times New Roman"/>
          <w:sz w:val="22"/>
        </w:rPr>
        <w:t xml:space="preserve"> 21 jours] </w:t>
      </w:r>
      <w:r w:rsidRPr="009319BD">
        <w:rPr>
          <w:rFonts w:ascii="Times New Roman" w:hAnsi="Times New Roman"/>
          <w:sz w:val="22"/>
          <w:szCs w:val="22"/>
        </w:rPr>
        <w:t xml:space="preserve">avant la date limite de soumission des offres, en précisant la référence de la publication et l’intitulé du </w:t>
      </w:r>
      <w:proofErr w:type="gramStart"/>
      <w:r w:rsidRPr="009319BD">
        <w:rPr>
          <w:rFonts w:ascii="Times New Roman" w:hAnsi="Times New Roman"/>
          <w:sz w:val="22"/>
          <w:szCs w:val="22"/>
        </w:rPr>
        <w:t>marché:</w:t>
      </w:r>
      <w:proofErr w:type="gramEnd"/>
      <w:r w:rsidRPr="009319BD">
        <w:rPr>
          <w:rFonts w:ascii="Times New Roman" w:hAnsi="Times New Roman"/>
          <w:sz w:val="22"/>
          <w:szCs w:val="22"/>
        </w:rPr>
        <w:t>]</w:t>
      </w:r>
    </w:p>
    <w:p w14:paraId="49831AB5" w14:textId="08F3A618" w:rsidR="0024232E" w:rsidRPr="0024232E" w:rsidRDefault="0024232E" w:rsidP="0024232E">
      <w:pPr>
        <w:widowControl w:val="0"/>
        <w:pBdr>
          <w:top w:val="nil"/>
          <w:left w:val="nil"/>
          <w:bottom w:val="nil"/>
          <w:right w:val="nil"/>
          <w:between w:val="nil"/>
        </w:pBdr>
        <w:spacing w:before="0" w:after="0"/>
        <w:ind w:left="720"/>
        <w:jc w:val="center"/>
        <w:rPr>
          <w:rFonts w:ascii="Times New Roman" w:hAnsi="Times New Roman"/>
          <w:b/>
          <w:bCs/>
          <w:snapToGrid/>
          <w:color w:val="000000"/>
          <w:sz w:val="22"/>
          <w:szCs w:val="22"/>
          <w:lang w:val="fr"/>
        </w:rPr>
      </w:pPr>
      <w:r>
        <w:rPr>
          <w:rFonts w:ascii="Times New Roman" w:hAnsi="Times New Roman"/>
          <w:b/>
          <w:bCs/>
          <w:snapToGrid/>
          <w:color w:val="000000"/>
          <w:sz w:val="22"/>
          <w:szCs w:val="22"/>
          <w:lang w:val="fr"/>
        </w:rPr>
        <w:t>BONFED/PMSAN II</w:t>
      </w:r>
      <w:r w:rsidRPr="0024232E">
        <w:rPr>
          <w:rFonts w:ascii="Times New Roman" w:hAnsi="Times New Roman"/>
          <w:b/>
          <w:bCs/>
          <w:snapToGrid/>
          <w:color w:val="000000"/>
          <w:sz w:val="22"/>
          <w:szCs w:val="22"/>
          <w:lang w:val="fr"/>
        </w:rPr>
        <w:t>.</w:t>
      </w:r>
    </w:p>
    <w:p w14:paraId="45A4714A" w14:textId="77777777" w:rsidR="0024232E" w:rsidRPr="0024232E" w:rsidRDefault="0024232E" w:rsidP="0024232E">
      <w:pPr>
        <w:widowControl w:val="0"/>
        <w:pBdr>
          <w:top w:val="nil"/>
          <w:left w:val="nil"/>
          <w:bottom w:val="nil"/>
          <w:right w:val="nil"/>
          <w:between w:val="nil"/>
        </w:pBdr>
        <w:spacing w:before="0" w:after="0"/>
        <w:ind w:left="720"/>
        <w:jc w:val="center"/>
        <w:rPr>
          <w:rFonts w:ascii="Times New Roman" w:hAnsi="Times New Roman"/>
          <w:b/>
          <w:bCs/>
          <w:snapToGrid/>
          <w:color w:val="000000"/>
          <w:sz w:val="22"/>
          <w:szCs w:val="22"/>
          <w:lang w:val="fr"/>
        </w:rPr>
      </w:pPr>
      <w:r w:rsidRPr="0024232E">
        <w:rPr>
          <w:rFonts w:ascii="Times New Roman" w:hAnsi="Times New Roman"/>
          <w:b/>
          <w:bCs/>
          <w:snapToGrid/>
          <w:sz w:val="22"/>
          <w:szCs w:val="22"/>
          <w:lang w:val="fr"/>
        </w:rPr>
        <w:t>19, Rue Pinchinat, Pétion-Ville,</w:t>
      </w:r>
      <w:r w:rsidRPr="0024232E">
        <w:rPr>
          <w:rFonts w:ascii="Times New Roman" w:hAnsi="Times New Roman"/>
          <w:b/>
          <w:bCs/>
          <w:snapToGrid/>
          <w:color w:val="000000"/>
          <w:sz w:val="22"/>
          <w:szCs w:val="22"/>
          <w:lang w:val="fr"/>
        </w:rPr>
        <w:t xml:space="preserve"> Haïti</w:t>
      </w:r>
    </w:p>
    <w:p w14:paraId="509AEE10" w14:textId="77777777" w:rsidR="0024232E" w:rsidRPr="0024232E" w:rsidRDefault="0024232E" w:rsidP="0024232E">
      <w:pPr>
        <w:widowControl w:val="0"/>
        <w:pBdr>
          <w:top w:val="nil"/>
          <w:left w:val="nil"/>
          <w:bottom w:val="nil"/>
          <w:right w:val="nil"/>
          <w:between w:val="nil"/>
        </w:pBdr>
        <w:spacing w:before="0" w:after="0"/>
        <w:ind w:left="720"/>
        <w:jc w:val="center"/>
        <w:rPr>
          <w:rFonts w:ascii="Times New Roman" w:hAnsi="Times New Roman"/>
          <w:b/>
          <w:bCs/>
          <w:snapToGrid/>
          <w:color w:val="000000"/>
          <w:sz w:val="22"/>
          <w:szCs w:val="22"/>
          <w:lang w:val="fr"/>
        </w:rPr>
      </w:pPr>
      <w:r w:rsidRPr="0024232E">
        <w:rPr>
          <w:rFonts w:ascii="Times New Roman" w:hAnsi="Times New Roman"/>
          <w:b/>
          <w:bCs/>
          <w:snapToGrid/>
          <w:color w:val="000000"/>
          <w:sz w:val="22"/>
          <w:szCs w:val="22"/>
          <w:lang w:val="fr"/>
        </w:rPr>
        <w:t>Téléphone : (+509) 34553301</w:t>
      </w:r>
    </w:p>
    <w:p w14:paraId="62ABAEE8" w14:textId="24A43FB3" w:rsidR="0024232E" w:rsidRPr="0024232E" w:rsidRDefault="0024232E" w:rsidP="0024232E">
      <w:pPr>
        <w:widowControl w:val="0"/>
        <w:pBdr>
          <w:top w:val="nil"/>
          <w:left w:val="nil"/>
          <w:bottom w:val="nil"/>
          <w:right w:val="nil"/>
          <w:between w:val="nil"/>
        </w:pBdr>
        <w:spacing w:before="0" w:after="0"/>
        <w:ind w:left="720" w:right="1"/>
        <w:jc w:val="center"/>
        <w:rPr>
          <w:rFonts w:ascii="Times New Roman" w:hAnsi="Times New Roman"/>
          <w:snapToGrid/>
          <w:color w:val="000000"/>
          <w:sz w:val="22"/>
          <w:szCs w:val="22"/>
          <w:lang w:val="fr"/>
        </w:rPr>
      </w:pPr>
      <w:proofErr w:type="gramStart"/>
      <w:r w:rsidRPr="0024232E">
        <w:rPr>
          <w:rFonts w:ascii="Times New Roman" w:hAnsi="Times New Roman"/>
          <w:b/>
          <w:bCs/>
          <w:snapToGrid/>
          <w:color w:val="000000"/>
          <w:sz w:val="22"/>
          <w:szCs w:val="22"/>
          <w:lang w:val="fr"/>
        </w:rPr>
        <w:t>E-mail</w:t>
      </w:r>
      <w:proofErr w:type="gramEnd"/>
      <w:r w:rsidRPr="0024232E">
        <w:rPr>
          <w:rFonts w:ascii="Times New Roman" w:hAnsi="Times New Roman"/>
          <w:b/>
          <w:bCs/>
          <w:snapToGrid/>
          <w:color w:val="000000"/>
          <w:sz w:val="22"/>
          <w:szCs w:val="22"/>
          <w:lang w:val="fr"/>
        </w:rPr>
        <w:t> :</w:t>
      </w:r>
      <w:r w:rsidRPr="0024232E">
        <w:rPr>
          <w:rFonts w:ascii="Times New Roman" w:hAnsi="Times New Roman"/>
          <w:snapToGrid/>
          <w:color w:val="000000"/>
          <w:sz w:val="22"/>
          <w:szCs w:val="22"/>
          <w:lang w:val="fr"/>
        </w:rPr>
        <w:t xml:space="preserve"> </w:t>
      </w:r>
      <w:r>
        <w:rPr>
          <w:rFonts w:ascii="Times New Roman" w:hAnsi="Times New Roman"/>
          <w:snapToGrid/>
          <w:color w:val="000000"/>
          <w:sz w:val="22"/>
          <w:szCs w:val="22"/>
          <w:lang w:val="fr"/>
        </w:rPr>
        <w:t>pmsan.marches</w:t>
      </w:r>
      <w:r w:rsidR="00B7591D">
        <w:rPr>
          <w:rFonts w:ascii="Times New Roman" w:hAnsi="Times New Roman"/>
          <w:snapToGrid/>
          <w:color w:val="000000"/>
          <w:sz w:val="22"/>
          <w:szCs w:val="22"/>
          <w:lang w:val="fr"/>
        </w:rPr>
        <w:t>@gmail.com</w:t>
      </w:r>
      <w:r w:rsidRPr="0024232E">
        <w:rPr>
          <w:rFonts w:ascii="Times New Roman" w:hAnsi="Times New Roman"/>
          <w:snapToGrid/>
          <w:sz w:val="22"/>
          <w:szCs w:val="22"/>
          <w:lang w:val="fr"/>
        </w:rPr>
        <w:t xml:space="preserve">  </w:t>
      </w:r>
    </w:p>
    <w:p w14:paraId="5D996C4B" w14:textId="4407A16E" w:rsidR="0077201B" w:rsidRPr="009319BD" w:rsidRDefault="0077201B">
      <w:pPr>
        <w:pStyle w:val="BodyText"/>
        <w:ind w:left="567"/>
        <w:jc w:val="both"/>
        <w:rPr>
          <w:rFonts w:ascii="Times New Roman" w:hAnsi="Times New Roman"/>
          <w:sz w:val="22"/>
          <w:szCs w:val="22"/>
        </w:rPr>
      </w:pPr>
      <w:r w:rsidRPr="009319BD">
        <w:rPr>
          <w:rFonts w:ascii="Times New Roman" w:hAnsi="Times New Roman"/>
          <w:sz w:val="22"/>
          <w:szCs w:val="22"/>
        </w:rPr>
        <w:lastRenderedPageBreak/>
        <w:t xml:space="preserve">Tout éclaircissement sur le dossier d’appel d’offres sera communiqué simultanément par écrit à tous les soumissionnaires au plus tard 8 jours avant la date limite de soumission des offres.] </w:t>
      </w:r>
    </w:p>
    <w:p w14:paraId="5A6F00C2" w14:textId="77777777" w:rsidR="0047783A" w:rsidRPr="00E82463" w:rsidRDefault="0047783A" w:rsidP="00AC07D4">
      <w:pPr>
        <w:pStyle w:val="BodyText"/>
        <w:ind w:left="567"/>
        <w:jc w:val="both"/>
        <w:rPr>
          <w:rFonts w:ascii="Times New Roman" w:hAnsi="Times New Roman"/>
          <w:sz w:val="22"/>
        </w:rPr>
      </w:pPr>
      <w:r>
        <w:rPr>
          <w:rFonts w:ascii="Times New Roman" w:hAnsi="Times New Roman"/>
          <w:sz w:val="22"/>
        </w:rPr>
        <w:t xml:space="preserve">Les soumissionnaires potentiels qui chercheraient à organiser des réunions individuelles avec le pouvoir adjudicateur et/ou la Commission européenne au cours de la période de l’appel d’offres </w:t>
      </w:r>
      <w:proofErr w:type="gramStart"/>
      <w:r>
        <w:rPr>
          <w:rFonts w:ascii="Times New Roman" w:hAnsi="Times New Roman"/>
          <w:sz w:val="22"/>
        </w:rPr>
        <w:t>peuvent</w:t>
      </w:r>
      <w:proofErr w:type="gramEnd"/>
      <w:r>
        <w:rPr>
          <w:rFonts w:ascii="Times New Roman" w:hAnsi="Times New Roman"/>
          <w:sz w:val="22"/>
        </w:rPr>
        <w:t xml:space="preserve"> être exclus de l’appel d’offres.</w:t>
      </w:r>
    </w:p>
    <w:p w14:paraId="6F7CFDD9" w14:textId="7B19285F" w:rsidR="0047783A" w:rsidRPr="00E82EBF" w:rsidRDefault="00A633C6" w:rsidP="009956B4">
      <w:pPr>
        <w:pStyle w:val="Heading1"/>
      </w:pPr>
      <w:bookmarkStart w:id="20" w:name="_Toc42488083"/>
      <w:r w:rsidRPr="00E82EBF">
        <w:t>14. Réunion d’information/visite du site</w:t>
      </w:r>
      <w:bookmarkEnd w:id="20"/>
    </w:p>
    <w:p w14:paraId="4B2DAFE3" w14:textId="77777777" w:rsidR="0047783A" w:rsidRDefault="0047783A" w:rsidP="00AC07D4">
      <w:pPr>
        <w:pStyle w:val="BodyText"/>
        <w:ind w:left="567" w:hanging="567"/>
        <w:rPr>
          <w:rFonts w:ascii="Times New Roman" w:hAnsi="Times New Roman"/>
          <w:sz w:val="22"/>
          <w:szCs w:val="22"/>
        </w:rPr>
      </w:pPr>
      <w:r w:rsidRPr="00E82EBF">
        <w:rPr>
          <w:rFonts w:ascii="Times New Roman" w:hAnsi="Times New Roman"/>
          <w:sz w:val="22"/>
          <w:szCs w:val="22"/>
        </w:rPr>
        <w:t>14.1</w:t>
      </w:r>
      <w:r w:rsidRPr="00E82EBF">
        <w:rPr>
          <w:rFonts w:ascii="Times New Roman" w:hAnsi="Times New Roman"/>
          <w:sz w:val="22"/>
          <w:szCs w:val="22"/>
        </w:rPr>
        <w:tab/>
        <w:t>Aucune réunion d’information/visite du site n’est prévue. Aucune visite ne peut être organisée pour les soumissionnaires potentiels au cours de la période de l’appel d’offres</w:t>
      </w:r>
      <w:proofErr w:type="gramStart"/>
      <w:r w:rsidRPr="00E82EBF">
        <w:rPr>
          <w:rFonts w:ascii="Times New Roman" w:hAnsi="Times New Roman"/>
          <w:sz w:val="22"/>
          <w:szCs w:val="22"/>
        </w:rPr>
        <w:t>. ]</w:t>
      </w:r>
      <w:proofErr w:type="gramEnd"/>
    </w:p>
    <w:p w14:paraId="2DA75A52" w14:textId="77777777" w:rsidR="00DE67A7" w:rsidRPr="00E82EBF" w:rsidRDefault="00DE67A7" w:rsidP="00AC07D4">
      <w:pPr>
        <w:pStyle w:val="BodyText"/>
        <w:ind w:left="567" w:hanging="567"/>
        <w:rPr>
          <w:rFonts w:ascii="Times New Roman" w:hAnsi="Times New Roman"/>
          <w:sz w:val="22"/>
          <w:szCs w:val="22"/>
        </w:rPr>
      </w:pPr>
    </w:p>
    <w:p w14:paraId="6214904C" w14:textId="06FF3C08" w:rsidR="0047783A" w:rsidRPr="001A2BC4" w:rsidRDefault="00183955" w:rsidP="001A2BC4">
      <w:pPr>
        <w:pStyle w:val="Heading1"/>
        <w:numPr>
          <w:ilvl w:val="0"/>
          <w:numId w:val="4"/>
        </w:numPr>
      </w:pPr>
      <w:bookmarkStart w:id="21" w:name="_Toc42488084"/>
      <w:r>
        <w:t>Modification ou retrait des offres</w:t>
      </w:r>
      <w:bookmarkEnd w:id="21"/>
    </w:p>
    <w:p w14:paraId="312FC82B" w14:textId="598970D2" w:rsidR="002409FE" w:rsidRDefault="002409FE" w:rsidP="009956B4">
      <w:pPr>
        <w:spacing w:before="0" w:after="0"/>
        <w:ind w:left="567" w:hanging="567"/>
        <w:jc w:val="both"/>
        <w:rPr>
          <w:rFonts w:ascii="Times New Roman" w:hAnsi="Times New Roman"/>
          <w:snapToGrid/>
          <w:sz w:val="24"/>
          <w:szCs w:val="24"/>
        </w:rPr>
      </w:pPr>
      <w:r>
        <w:rPr>
          <w:rFonts w:ascii="Times New Roman" w:hAnsi="Times New Roman"/>
          <w:sz w:val="22"/>
          <w:szCs w:val="22"/>
        </w:rPr>
        <w:t xml:space="preserve"> </w:t>
      </w:r>
    </w:p>
    <w:p w14:paraId="31E0BA62" w14:textId="479B82E9" w:rsidR="002F559C" w:rsidRPr="00E82EBF" w:rsidRDefault="0047783A" w:rsidP="000351E3">
      <w:pPr>
        <w:pStyle w:val="Heading2"/>
        <w:keepLines/>
        <w:ind w:left="567" w:hanging="567"/>
        <w:jc w:val="both"/>
        <w:rPr>
          <w:rFonts w:ascii="Times New Roman" w:hAnsi="Times New Roman"/>
          <w:sz w:val="22"/>
        </w:rPr>
      </w:pPr>
      <w:r>
        <w:rPr>
          <w:rFonts w:ascii="Times New Roman" w:hAnsi="Times New Roman"/>
          <w:sz w:val="22"/>
        </w:rPr>
        <w:t>15.1</w:t>
      </w:r>
      <w:r>
        <w:rPr>
          <w:rFonts w:ascii="Times New Roman" w:hAnsi="Times New Roman"/>
          <w:sz w:val="22"/>
        </w:rPr>
        <w:tab/>
      </w:r>
      <w:r w:rsidR="005071E3" w:rsidRPr="00E82EBF">
        <w:rPr>
          <w:rFonts w:ascii="Times New Roman" w:hAnsi="Times New Roman"/>
          <w:sz w:val="22"/>
          <w:szCs w:val="22"/>
        </w:rPr>
        <w:t>Les soumissionnaires peuvent modifier ou retirer leur offre par notification écrite avant la date limite de soumission des offres. Aucune offre ne pourra être modifiée après cette date. Les retraits sont inconditionnels et mettent fin à toute participation à l’appel d’offres.</w:t>
      </w:r>
      <w:r w:rsidR="005071E3" w:rsidRPr="00E82EBF">
        <w:rPr>
          <w:rFonts w:ascii="Times New Roman" w:hAnsi="Times New Roman"/>
          <w:sz w:val="22"/>
        </w:rPr>
        <w:t xml:space="preserve"> </w:t>
      </w:r>
      <w:r w:rsidR="005071E3" w:rsidRPr="00E82EBF">
        <w:rPr>
          <w:rFonts w:ascii="Times New Roman" w:hAnsi="Times New Roman"/>
          <w:sz w:val="22"/>
        </w:rPr>
        <w:tab/>
      </w:r>
    </w:p>
    <w:p w14:paraId="2F12C80F" w14:textId="50153002" w:rsidR="0047783A" w:rsidRPr="00E82EBF" w:rsidRDefault="0047783A" w:rsidP="009956B4">
      <w:pPr>
        <w:pStyle w:val="Heading2"/>
        <w:keepNext w:val="0"/>
        <w:ind w:left="567"/>
        <w:jc w:val="both"/>
        <w:rPr>
          <w:rFonts w:ascii="Times New Roman" w:hAnsi="Times New Roman"/>
          <w:sz w:val="22"/>
          <w:szCs w:val="22"/>
        </w:rPr>
      </w:pPr>
      <w:r w:rsidRPr="00E82EBF">
        <w:rPr>
          <w:rFonts w:ascii="Times New Roman" w:hAnsi="Times New Roman"/>
          <w:sz w:val="22"/>
          <w:szCs w:val="22"/>
        </w:rPr>
        <w:t>Toute notification de modification ou de retrait doit être préparée et soumise conformément aux instructions énoncées à la section 10. L’enveloppe extérieure doit porter la mention</w:t>
      </w:r>
      <w:proofErr w:type="gramStart"/>
      <w:r w:rsidRPr="00E82EBF">
        <w:rPr>
          <w:rFonts w:ascii="Times New Roman" w:hAnsi="Times New Roman"/>
          <w:sz w:val="22"/>
          <w:szCs w:val="22"/>
        </w:rPr>
        <w:t xml:space="preserve"> «Modification</w:t>
      </w:r>
      <w:proofErr w:type="gramEnd"/>
      <w:r w:rsidRPr="00E82EBF">
        <w:rPr>
          <w:rFonts w:ascii="Times New Roman" w:hAnsi="Times New Roman"/>
          <w:sz w:val="22"/>
          <w:szCs w:val="22"/>
        </w:rPr>
        <w:t>» ou</w:t>
      </w:r>
      <w:proofErr w:type="gramStart"/>
      <w:r w:rsidRPr="00E82EBF">
        <w:rPr>
          <w:rFonts w:ascii="Times New Roman" w:hAnsi="Times New Roman"/>
          <w:sz w:val="22"/>
          <w:szCs w:val="22"/>
        </w:rPr>
        <w:t xml:space="preserve"> «Retrait</w:t>
      </w:r>
      <w:proofErr w:type="gramEnd"/>
      <w:r w:rsidRPr="00E82EBF">
        <w:rPr>
          <w:rFonts w:ascii="Times New Roman" w:hAnsi="Times New Roman"/>
          <w:sz w:val="22"/>
          <w:szCs w:val="22"/>
        </w:rPr>
        <w:t>» selon le cas.]</w:t>
      </w:r>
    </w:p>
    <w:p w14:paraId="7E91B778" w14:textId="57DFA46D" w:rsidR="0047783A" w:rsidRPr="00E82463" w:rsidRDefault="0047783A" w:rsidP="0047783A">
      <w:pPr>
        <w:pStyle w:val="Heading2"/>
        <w:keepNext w:val="0"/>
        <w:ind w:left="567" w:hanging="567"/>
        <w:jc w:val="both"/>
        <w:rPr>
          <w:rFonts w:ascii="Times New Roman" w:hAnsi="Times New Roman"/>
        </w:rPr>
      </w:pPr>
      <w:r>
        <w:rPr>
          <w:rFonts w:ascii="Times New Roman" w:hAnsi="Times New Roman"/>
          <w:sz w:val="22"/>
        </w:rPr>
        <w:t>15.2</w:t>
      </w:r>
      <w:r>
        <w:rPr>
          <w:rFonts w:ascii="Times New Roman" w:hAnsi="Times New Roman"/>
          <w:sz w:val="22"/>
        </w:rPr>
        <w:tab/>
        <w:t>Aucune offre ne peut être retirée entre la date limite de soumission des offres et l’expiration de la période de validité des offres. Le retrait d’une offre au cours de ce laps de temps peut entraîner la perte de la garantie de soumission.</w:t>
      </w:r>
    </w:p>
    <w:p w14:paraId="3738767F" w14:textId="2FAB4988" w:rsidR="0047783A" w:rsidRPr="001A2BC4" w:rsidRDefault="00A633C6" w:rsidP="009956B4">
      <w:pPr>
        <w:pStyle w:val="Heading1"/>
      </w:pPr>
      <w:bookmarkStart w:id="22" w:name="_Toc42488085"/>
      <w:r>
        <w:t>16. Frais inhérents à la préparation des offres</w:t>
      </w:r>
      <w:bookmarkEnd w:id="22"/>
    </w:p>
    <w:p w14:paraId="0C26C260" w14:textId="77777777" w:rsidR="0047783A" w:rsidRPr="00E82463" w:rsidRDefault="0047783A" w:rsidP="0047783A">
      <w:pPr>
        <w:tabs>
          <w:tab w:val="left" w:pos="567"/>
        </w:tabs>
        <w:ind w:left="567"/>
        <w:jc w:val="both"/>
        <w:rPr>
          <w:rFonts w:ascii="Times New Roman" w:hAnsi="Times New Roman"/>
          <w:sz w:val="22"/>
        </w:rPr>
      </w:pPr>
      <w:r>
        <w:rPr>
          <w:rFonts w:ascii="Times New Roman" w:hAnsi="Times New Roman"/>
          <w:sz w:val="22"/>
        </w:rPr>
        <w:t>Les frais supportés par le soumissionnaire pour la préparation et la soumission de l’offre ne sont pas remboursables. Tous ces frais sont à la charge du soumissionnaire.</w:t>
      </w:r>
    </w:p>
    <w:p w14:paraId="45FBA75B" w14:textId="1A78B6DC" w:rsidR="0047783A" w:rsidRPr="001A2BC4" w:rsidRDefault="00A633C6" w:rsidP="009956B4">
      <w:pPr>
        <w:pStyle w:val="Heading1"/>
      </w:pPr>
      <w:r>
        <w:t xml:space="preserve">17. </w:t>
      </w:r>
      <w:bookmarkStart w:id="23" w:name="_Toc42488086"/>
      <w:r>
        <w:t>Propriété des offres</w:t>
      </w:r>
      <w:bookmarkEnd w:id="23"/>
    </w:p>
    <w:p w14:paraId="625016AA" w14:textId="77777777" w:rsidR="0047783A" w:rsidRPr="00E82463" w:rsidRDefault="0047783A" w:rsidP="0047783A">
      <w:pPr>
        <w:ind w:left="567"/>
        <w:jc w:val="both"/>
        <w:rPr>
          <w:rFonts w:ascii="Times New Roman" w:hAnsi="Times New Roman"/>
          <w:sz w:val="22"/>
        </w:rPr>
      </w:pPr>
      <w:r>
        <w:rPr>
          <w:rFonts w:ascii="Times New Roman" w:hAnsi="Times New Roman"/>
          <w:sz w:val="22"/>
        </w:rPr>
        <w:t>Le pouvoir adjudicateur conserve la propriété de toutes les offres reçues dans le cadre du présent appel d’offres. En conséquence, les soumissionnaires ne peuvent exiger que leur offre leur soit renvoyée.</w:t>
      </w:r>
    </w:p>
    <w:p w14:paraId="358251F9" w14:textId="0E625D6F" w:rsidR="0047783A" w:rsidRPr="001A2BC4" w:rsidRDefault="00A633C6" w:rsidP="009956B4">
      <w:pPr>
        <w:pStyle w:val="Heading1"/>
      </w:pPr>
      <w:bookmarkStart w:id="24" w:name="_Toc42488087"/>
      <w:r>
        <w:t>18. Entreprise commune ou consortium</w:t>
      </w:r>
      <w:bookmarkEnd w:id="24"/>
    </w:p>
    <w:p w14:paraId="638F8B9B" w14:textId="77777777" w:rsidR="0047783A" w:rsidRPr="00E82463" w:rsidRDefault="0047783A" w:rsidP="0047783A">
      <w:pPr>
        <w:pStyle w:val="Heading2"/>
        <w:keepNext w:val="0"/>
        <w:ind w:left="567" w:hanging="567"/>
        <w:jc w:val="both"/>
        <w:rPr>
          <w:rFonts w:ascii="Times New Roman" w:hAnsi="Times New Roman"/>
        </w:rPr>
      </w:pPr>
      <w:r>
        <w:rPr>
          <w:rFonts w:ascii="Times New Roman" w:hAnsi="Times New Roman"/>
          <w:sz w:val="22"/>
        </w:rPr>
        <w:t>18.1</w:t>
      </w:r>
      <w:r>
        <w:rPr>
          <w:rFonts w:ascii="Times New Roman" w:hAnsi="Times New Roman"/>
          <w:sz w:val="22"/>
        </w:rPr>
        <w:tab/>
        <w:t>Lorsque le soumissionnaire est une entreprise commune ou un consortium de deux personnes ou plus, l’offre doit être une offre unique dont l’objet est de constituer un seul contrat. Chacune de ces personnes doit signer l’offre et est conjointement et solidairement responsable de l’offre et de tout contrat qui pourrait en résulter. Ces personnes doivent désigner parmi elles un chef de file habilité à engager l’entreprise commune ou le consortium. La composition de l’entreprise commune ou du consortium ne peut être modifiée sans le consentement préalable écrit du pouvoir adjudicateur.</w:t>
      </w:r>
    </w:p>
    <w:p w14:paraId="14EBA476" w14:textId="77777777" w:rsidR="0047783A" w:rsidRPr="00E82463" w:rsidRDefault="0047783A" w:rsidP="0047783A">
      <w:pPr>
        <w:pStyle w:val="Heading2"/>
        <w:keepNext w:val="0"/>
        <w:ind w:left="567" w:hanging="567"/>
        <w:jc w:val="both"/>
        <w:rPr>
          <w:rFonts w:ascii="Times New Roman" w:hAnsi="Times New Roman"/>
        </w:rPr>
      </w:pPr>
      <w:r>
        <w:rPr>
          <w:rFonts w:ascii="Times New Roman" w:hAnsi="Times New Roman"/>
          <w:sz w:val="22"/>
        </w:rPr>
        <w:lastRenderedPageBreak/>
        <w:t>18.2</w:t>
      </w:r>
      <w:r>
        <w:rPr>
          <w:rFonts w:ascii="Times New Roman" w:hAnsi="Times New Roman"/>
          <w:sz w:val="22"/>
        </w:rPr>
        <w:tab/>
        <w:t>L’offre ne peut être signée par le représentant de l’entreprise commune ou du consortium que si celui-ci a été expressément mandaté à cet effet, par écrit, par les membres de l’entreprise commune ou du consortium et l’acte notarié ou l’acte sous seing privé conférant ce mandat doit être soumis au pouvoir adjudicateur conformément au point 11 des présentes instructions aux soumissionnaires. Toutes les signatures apposées au bas du mandat doivent être certifiées conformes selon les lois et les règlements nationaux de chacune des parties composant l’entreprise commune ou le consortium, de même que la procuration écrite établissant que les signataires de l’offre sont habilités à prendre des engagements au nom des membres de l’entreprise commune ou du consortium. Chaque membre de l’entreprise commune ou du consortium doit fournir les preuves requises au point 3.5 comme s’il était lui-même le soumissionnaire.</w:t>
      </w:r>
    </w:p>
    <w:p w14:paraId="2F10EC9B" w14:textId="65193D85" w:rsidR="0047783A" w:rsidRPr="001A2BC4" w:rsidRDefault="00A633C6" w:rsidP="009956B4">
      <w:pPr>
        <w:pStyle w:val="Heading1"/>
      </w:pPr>
      <w:bookmarkStart w:id="25" w:name="_Toc42488088"/>
      <w:r>
        <w:t>19. Ouverture des offres</w:t>
      </w:r>
      <w:bookmarkEnd w:id="25"/>
    </w:p>
    <w:p w14:paraId="3751B074" w14:textId="3F0E74E0" w:rsidR="0047783A" w:rsidRDefault="0047783A" w:rsidP="0047783A">
      <w:pPr>
        <w:pStyle w:val="Heading2"/>
        <w:keepNext w:val="0"/>
        <w:ind w:left="567" w:hanging="567"/>
        <w:jc w:val="both"/>
        <w:rPr>
          <w:rFonts w:ascii="Times New Roman" w:hAnsi="Times New Roman"/>
          <w:sz w:val="22"/>
        </w:rPr>
      </w:pPr>
      <w:r>
        <w:rPr>
          <w:rFonts w:ascii="Times New Roman" w:hAnsi="Times New Roman"/>
          <w:sz w:val="22"/>
        </w:rPr>
        <w:t>19.1</w:t>
      </w:r>
      <w:r>
        <w:rPr>
          <w:rFonts w:ascii="Times New Roman" w:hAnsi="Times New Roman"/>
          <w:sz w:val="22"/>
        </w:rPr>
        <w:tab/>
        <w:t>La séance d’ouverture a pour objet de vérifier si les offres ont été soumises conformément aux conditions de forme de l’appel d’offres.</w:t>
      </w:r>
    </w:p>
    <w:p w14:paraId="04BF86A3" w14:textId="1724B5ED" w:rsidR="0000259F" w:rsidRPr="00E82EBF" w:rsidRDefault="0047783A" w:rsidP="0000259F">
      <w:pPr>
        <w:pStyle w:val="Heading2"/>
        <w:ind w:left="567" w:hanging="567"/>
        <w:jc w:val="both"/>
        <w:rPr>
          <w:rFonts w:ascii="Times New Roman" w:hAnsi="Times New Roman"/>
          <w:sz w:val="22"/>
        </w:rPr>
      </w:pPr>
      <w:r w:rsidRPr="00E82EBF">
        <w:rPr>
          <w:rFonts w:ascii="Times New Roman" w:hAnsi="Times New Roman"/>
          <w:sz w:val="22"/>
        </w:rPr>
        <w:t>19.2</w:t>
      </w:r>
      <w:r w:rsidRPr="00E82EBF">
        <w:rPr>
          <w:rFonts w:ascii="Times New Roman" w:hAnsi="Times New Roman"/>
          <w:sz w:val="22"/>
        </w:rPr>
        <w:tab/>
        <w:t>La date et le lieu de la séance d’ouverture des offres sont indiqués à la section IV.2.7 de l’avis de marché.</w:t>
      </w:r>
    </w:p>
    <w:p w14:paraId="53EB2A2E" w14:textId="28CC6BE7" w:rsidR="0047783A" w:rsidRPr="00E82EBF" w:rsidRDefault="0047783A" w:rsidP="001A2BC4">
      <w:pPr>
        <w:pStyle w:val="Heading2"/>
        <w:keepNext w:val="0"/>
        <w:ind w:left="567"/>
        <w:jc w:val="both"/>
        <w:rPr>
          <w:rFonts w:ascii="Times New Roman" w:hAnsi="Times New Roman"/>
          <w:sz w:val="22"/>
        </w:rPr>
      </w:pPr>
      <w:r w:rsidRPr="00E82EBF">
        <w:rPr>
          <w:rFonts w:ascii="Times New Roman" w:hAnsi="Times New Roman"/>
          <w:sz w:val="22"/>
        </w:rPr>
        <w:t>Le comité établira un procès-verbal de la réunion, qui sera disponible sur demande.</w:t>
      </w:r>
    </w:p>
    <w:p w14:paraId="7FBE10F5" w14:textId="24268D8A" w:rsidR="00A5438F" w:rsidRPr="00E82EBF" w:rsidRDefault="00A5438F" w:rsidP="00FC6A15">
      <w:pPr>
        <w:ind w:left="567"/>
        <w:jc w:val="both"/>
        <w:rPr>
          <w:rFonts w:ascii="Times New Roman" w:hAnsi="Times New Roman"/>
          <w:sz w:val="22"/>
        </w:rPr>
      </w:pPr>
      <w:r w:rsidRPr="00E82EBF">
        <w:rPr>
          <w:rFonts w:ascii="Times New Roman" w:hAnsi="Times New Roman"/>
          <w:sz w:val="22"/>
          <w:szCs w:val="22"/>
        </w:rPr>
        <w:t>Si, à la date de la séance d’ouverture, certaines offres n’ont pas été remises au pouvoir adjudicateur, mais que leurs représentants peuvent prouver qu’elles ont été envoyées à temps, le pouvoir adjudicateur les autorisera à participer à la première séance d’ouverture et informera tous les représentants des soumissionnaires de la tenue d’une deuxième séance d’ouverture</w:t>
      </w:r>
      <w:r w:rsidRPr="00E82EBF">
        <w:rPr>
          <w:rFonts w:ascii="Times New Roman" w:hAnsi="Times New Roman"/>
          <w:sz w:val="22"/>
        </w:rPr>
        <w:t xml:space="preserve">. </w:t>
      </w:r>
    </w:p>
    <w:p w14:paraId="399D7693" w14:textId="77777777" w:rsidR="0047783A" w:rsidRPr="00E82EBF" w:rsidRDefault="0047783A" w:rsidP="001A2BC4">
      <w:pPr>
        <w:ind w:left="567" w:hanging="567"/>
        <w:jc w:val="both"/>
        <w:rPr>
          <w:rFonts w:ascii="Times New Roman" w:hAnsi="Times New Roman"/>
          <w:sz w:val="22"/>
        </w:rPr>
      </w:pPr>
      <w:r w:rsidRPr="00E82EBF">
        <w:rPr>
          <w:rFonts w:ascii="Times New Roman" w:hAnsi="Times New Roman"/>
          <w:sz w:val="22"/>
        </w:rPr>
        <w:t>19.3</w:t>
      </w:r>
      <w:r w:rsidRPr="00E82EBF">
        <w:rPr>
          <w:rFonts w:ascii="Times New Roman" w:hAnsi="Times New Roman"/>
          <w:sz w:val="22"/>
        </w:rPr>
        <w:tab/>
        <w:t>Lors de la séance d’ouverture des offres, les noms des soumissionnaires, le montant des offres, les remises éventuelles, les notifications écrites de modification et de retrait, la présence de la garantie de soumission requise (si exigée) et toute autre information que le pouvoir adjudicateur estime appropriée peuvent être annoncés.</w:t>
      </w:r>
    </w:p>
    <w:p w14:paraId="68DAAAB5" w14:textId="7610A5FF" w:rsidR="0047783A" w:rsidRPr="00E82463" w:rsidRDefault="0047783A" w:rsidP="0047783A">
      <w:pPr>
        <w:pStyle w:val="Heading2"/>
        <w:keepNext w:val="0"/>
        <w:ind w:left="567" w:hanging="567"/>
        <w:jc w:val="both"/>
        <w:rPr>
          <w:rFonts w:ascii="Times New Roman" w:hAnsi="Times New Roman"/>
          <w:sz w:val="22"/>
        </w:rPr>
      </w:pPr>
      <w:r w:rsidRPr="00E82EBF">
        <w:rPr>
          <w:rFonts w:ascii="Times New Roman" w:hAnsi="Times New Roman"/>
          <w:sz w:val="22"/>
        </w:rPr>
        <w:t>19.4</w:t>
      </w:r>
      <w:r w:rsidRPr="00E82EBF">
        <w:rPr>
          <w:rFonts w:ascii="Times New Roman" w:hAnsi="Times New Roman"/>
          <w:sz w:val="22"/>
        </w:rPr>
        <w:tab/>
        <w:t>Après l’ouverture publique des offres, aucune information relative à l’examen, à la clarification, à l’évaluation des offres ni aucune recommandation concernant l’attribution du marché ne pourra être divulguée jusqu’à ce que le marché ait été attribué.]</w:t>
      </w:r>
    </w:p>
    <w:p w14:paraId="27D3E2A2" w14:textId="77777777" w:rsidR="0047783A" w:rsidRPr="00E82463" w:rsidRDefault="0047783A" w:rsidP="0047783A">
      <w:pPr>
        <w:pStyle w:val="Heading2"/>
        <w:keepNext w:val="0"/>
        <w:ind w:left="567" w:hanging="567"/>
        <w:jc w:val="both"/>
        <w:rPr>
          <w:rFonts w:ascii="Times New Roman" w:hAnsi="Times New Roman"/>
          <w:sz w:val="22"/>
        </w:rPr>
      </w:pPr>
      <w:r>
        <w:rPr>
          <w:rFonts w:ascii="Times New Roman" w:hAnsi="Times New Roman"/>
          <w:sz w:val="22"/>
        </w:rPr>
        <w:t>19.5</w:t>
      </w:r>
      <w:r>
        <w:rPr>
          <w:rFonts w:ascii="Times New Roman" w:hAnsi="Times New Roman"/>
          <w:sz w:val="22"/>
        </w:rPr>
        <w:tab/>
        <w:t>Toute tentative d’un soumissionnaire visant à influencer le comité d’évaluation durant la procédure d’examen, de clarification, d’évaluation et de comparaison des offres, dans le but d’obtenir des informations sur le déroulement de la procédure ou d’influencer la décision du pouvoir adjudicateur quant à l’attribution du marché entraînera le rejet immédiat de son offre.</w:t>
      </w:r>
    </w:p>
    <w:p w14:paraId="06AA2484" w14:textId="77777777" w:rsidR="0047783A" w:rsidRPr="00E82463" w:rsidRDefault="0047783A" w:rsidP="0047783A">
      <w:pPr>
        <w:pStyle w:val="Heading2"/>
        <w:keepNext w:val="0"/>
        <w:ind w:left="567" w:hanging="567"/>
        <w:jc w:val="both"/>
        <w:rPr>
          <w:rFonts w:ascii="Times New Roman" w:hAnsi="Times New Roman"/>
        </w:rPr>
      </w:pPr>
      <w:r>
        <w:rPr>
          <w:rFonts w:ascii="Times New Roman" w:hAnsi="Times New Roman"/>
          <w:sz w:val="22"/>
        </w:rPr>
        <w:t>19.6</w:t>
      </w:r>
      <w:r>
        <w:rPr>
          <w:rFonts w:ascii="Times New Roman" w:hAnsi="Times New Roman"/>
          <w:sz w:val="22"/>
        </w:rPr>
        <w:tab/>
        <w:t>Le pouvoir adjudicateur conservera toutes les offres reçues après la date limite de soumission des offres indiquée dans l’avis de marché ou dans les présentes instructions. Les garanties correspondantes seront renvoyées aux soumissionnaires. Le pouvoir adjudicateur ne peut être tenu pour responsable en cas de retard dans la livraison des offres. Les offres reçues hors délai seront rejetées et ne seront pas évaluées.</w:t>
      </w:r>
    </w:p>
    <w:p w14:paraId="48479041" w14:textId="6F92F0B0" w:rsidR="0047783A" w:rsidRPr="001A2BC4" w:rsidRDefault="00A633C6" w:rsidP="009956B4">
      <w:pPr>
        <w:pStyle w:val="Heading1"/>
      </w:pPr>
      <w:bookmarkStart w:id="26" w:name="_Toc42488089"/>
      <w:r>
        <w:t>20. Évaluation des offres</w:t>
      </w:r>
      <w:bookmarkEnd w:id="26"/>
    </w:p>
    <w:p w14:paraId="7C75DF35" w14:textId="77777777" w:rsidR="0047783A" w:rsidRPr="00E82463" w:rsidRDefault="0047783A" w:rsidP="0047783A">
      <w:pPr>
        <w:pStyle w:val="Heading2"/>
        <w:ind w:left="567" w:hanging="567"/>
        <w:jc w:val="both"/>
        <w:rPr>
          <w:rFonts w:ascii="Times New Roman" w:hAnsi="Times New Roman"/>
          <w:sz w:val="22"/>
        </w:rPr>
      </w:pPr>
      <w:r>
        <w:rPr>
          <w:rFonts w:ascii="Times New Roman" w:hAnsi="Times New Roman"/>
          <w:sz w:val="22"/>
        </w:rPr>
        <w:t>20.1</w:t>
      </w:r>
      <w:r>
        <w:rPr>
          <w:rFonts w:ascii="Times New Roman" w:hAnsi="Times New Roman"/>
          <w:sz w:val="22"/>
        </w:rPr>
        <w:tab/>
        <w:t>Examen de la conformité administrative des offres</w:t>
      </w:r>
    </w:p>
    <w:p w14:paraId="5100ED0A" w14:textId="77777777" w:rsidR="0047783A" w:rsidRPr="00E82463" w:rsidRDefault="0047783A" w:rsidP="0047783A">
      <w:pPr>
        <w:ind w:left="567"/>
        <w:jc w:val="both"/>
        <w:outlineLvl w:val="0"/>
        <w:rPr>
          <w:rFonts w:ascii="Times New Roman" w:hAnsi="Times New Roman"/>
        </w:rPr>
      </w:pPr>
      <w:r>
        <w:rPr>
          <w:rFonts w:ascii="Times New Roman" w:hAnsi="Times New Roman"/>
          <w:sz w:val="22"/>
        </w:rPr>
        <w:t xml:space="preserve">Cette phase a pour objet de vérifier si les offres sont conformes aux exigences essentielles du dossier d’appel d’offres. Une offre est conforme lorsqu’elle respecte toutes les conditions, </w:t>
      </w:r>
      <w:r>
        <w:rPr>
          <w:rFonts w:ascii="Times New Roman" w:hAnsi="Times New Roman"/>
          <w:sz w:val="22"/>
        </w:rPr>
        <w:lastRenderedPageBreak/>
        <w:t xml:space="preserve">modalités et spécifications contenues dans le dossier d’appel d’offres, sans s’en </w:t>
      </w:r>
      <w:proofErr w:type="gramStart"/>
      <w:r>
        <w:rPr>
          <w:rFonts w:ascii="Times New Roman" w:hAnsi="Times New Roman"/>
          <w:sz w:val="22"/>
        </w:rPr>
        <w:t>écarter sensiblement ni</w:t>
      </w:r>
      <w:proofErr w:type="gramEnd"/>
      <w:r>
        <w:rPr>
          <w:rFonts w:ascii="Times New Roman" w:hAnsi="Times New Roman"/>
          <w:sz w:val="22"/>
        </w:rPr>
        <w:t xml:space="preserve"> y apporter des restrictions substantielles.</w:t>
      </w:r>
    </w:p>
    <w:p w14:paraId="2B926AFB" w14:textId="77777777" w:rsidR="0047783A" w:rsidRPr="00E82463" w:rsidRDefault="0047783A" w:rsidP="0047783A">
      <w:pPr>
        <w:ind w:left="567"/>
        <w:jc w:val="both"/>
        <w:outlineLvl w:val="0"/>
        <w:rPr>
          <w:rFonts w:ascii="Times New Roman" w:hAnsi="Times New Roman"/>
        </w:rPr>
      </w:pPr>
      <w:r>
        <w:rPr>
          <w:rFonts w:ascii="Times New Roman" w:hAnsi="Times New Roman"/>
          <w:sz w:val="22"/>
        </w:rPr>
        <w:t>Les restrictions ou écarts substantiels sont ceux qui affectent l’objet, la qualité ou l’exécution du marché, qui diffèrent largement des termes du dossier d’appel d’offres, qui limitent les droits du pouvoir adjudicateur ou les obligations du soumissionnaire au titre du marché ou qui faussent la concurrence à l’égard des soumissionnaires ayant présenté des offres conformes. Toute décision ayant pour effet de déclarer qu’une offre n’est pas conforme sur le plan administratif doit être dûment justifiée dans le procès-verbal d’évaluation.</w:t>
      </w:r>
    </w:p>
    <w:p w14:paraId="2B1EEA90" w14:textId="1C4B2598" w:rsidR="0047783A" w:rsidRDefault="0047783A" w:rsidP="0047783A">
      <w:pPr>
        <w:ind w:left="567"/>
        <w:jc w:val="both"/>
        <w:outlineLvl w:val="0"/>
        <w:rPr>
          <w:rFonts w:ascii="Times New Roman" w:hAnsi="Times New Roman"/>
          <w:sz w:val="22"/>
        </w:rPr>
      </w:pPr>
      <w:r>
        <w:rPr>
          <w:rFonts w:ascii="Times New Roman" w:hAnsi="Times New Roman"/>
          <w:sz w:val="22"/>
        </w:rPr>
        <w:t>Si une offre n’est pas conforme au dossier d’appel d’offres, elle est immédiatement rejetée et ne peut, par la suite, être rendue conforme par des corrections ou par la suppression des écarts ou des restrictions.</w:t>
      </w:r>
    </w:p>
    <w:p w14:paraId="5C1965CF" w14:textId="77777777" w:rsidR="0047783A" w:rsidRPr="00E82463" w:rsidRDefault="0047783A" w:rsidP="0047783A">
      <w:pPr>
        <w:pStyle w:val="Heading2"/>
        <w:ind w:left="567" w:hanging="567"/>
        <w:jc w:val="both"/>
        <w:rPr>
          <w:rFonts w:ascii="Times New Roman" w:hAnsi="Times New Roman"/>
          <w:sz w:val="22"/>
        </w:rPr>
      </w:pPr>
      <w:r>
        <w:rPr>
          <w:rFonts w:ascii="Times New Roman" w:hAnsi="Times New Roman"/>
          <w:sz w:val="22"/>
        </w:rPr>
        <w:t>20.2</w:t>
      </w:r>
      <w:r>
        <w:rPr>
          <w:rFonts w:ascii="Times New Roman" w:hAnsi="Times New Roman"/>
          <w:sz w:val="22"/>
        </w:rPr>
        <w:tab/>
        <w:t>Évaluation technique</w:t>
      </w:r>
    </w:p>
    <w:p w14:paraId="5563ABB0" w14:textId="77777777" w:rsidR="0047783A" w:rsidRPr="00E82463" w:rsidRDefault="0047783A" w:rsidP="00E82463">
      <w:pPr>
        <w:spacing w:before="0"/>
        <w:ind w:left="567"/>
        <w:jc w:val="both"/>
        <w:outlineLvl w:val="0"/>
        <w:rPr>
          <w:rFonts w:ascii="Times New Roman" w:hAnsi="Times New Roman"/>
          <w:sz w:val="22"/>
        </w:rPr>
      </w:pPr>
      <w:bookmarkStart w:id="27" w:name="_Ref500330647"/>
      <w:r>
        <w:rPr>
          <w:rFonts w:ascii="Times New Roman" w:hAnsi="Times New Roman"/>
          <w:sz w:val="22"/>
        </w:rPr>
        <w:t>À l’issue de l’analyse des offres jugées conformes sur le plan administratif, le comité d’évaluation statuera sur la conformité technique de chaque offre et classera les offres en deux </w:t>
      </w:r>
      <w:proofErr w:type="gramStart"/>
      <w:r>
        <w:rPr>
          <w:rFonts w:ascii="Times New Roman" w:hAnsi="Times New Roman"/>
          <w:sz w:val="22"/>
        </w:rPr>
        <w:t>catégories:</w:t>
      </w:r>
      <w:proofErr w:type="gramEnd"/>
      <w:r>
        <w:rPr>
          <w:rFonts w:ascii="Times New Roman" w:hAnsi="Times New Roman"/>
          <w:sz w:val="22"/>
        </w:rPr>
        <w:t xml:space="preserve"> les offres conformes aux exigences techniques et les offres non conformes aux exigences techniques.</w:t>
      </w:r>
    </w:p>
    <w:p w14:paraId="6BBE5195" w14:textId="77777777" w:rsidR="0047783A" w:rsidRPr="00E82463" w:rsidRDefault="0047783A" w:rsidP="00E82463">
      <w:pPr>
        <w:pStyle w:val="Heading2"/>
        <w:keepNext w:val="0"/>
        <w:spacing w:before="0"/>
        <w:ind w:left="567"/>
        <w:jc w:val="both"/>
        <w:rPr>
          <w:rFonts w:ascii="Times New Roman" w:hAnsi="Times New Roman"/>
          <w:sz w:val="22"/>
          <w:szCs w:val="22"/>
        </w:rPr>
      </w:pPr>
      <w:r>
        <w:rPr>
          <w:rFonts w:ascii="Times New Roman" w:hAnsi="Times New Roman"/>
          <w:sz w:val="22"/>
          <w:szCs w:val="22"/>
        </w:rPr>
        <w:t>Les qualifications minimales requises (voir les critères de sélection dans les informations complémentaires concernant l’avis de marché) doivent être évaluées dès le début de cette étape.</w:t>
      </w:r>
    </w:p>
    <w:bookmarkEnd w:id="27"/>
    <w:p w14:paraId="7F4CA860" w14:textId="77777777" w:rsidR="0047783A" w:rsidRPr="00E82463" w:rsidRDefault="0047783A" w:rsidP="00E82463">
      <w:pPr>
        <w:spacing w:before="0"/>
        <w:ind w:left="567"/>
        <w:jc w:val="both"/>
        <w:outlineLvl w:val="0"/>
        <w:rPr>
          <w:rFonts w:ascii="Times New Roman" w:hAnsi="Times New Roman"/>
          <w:sz w:val="22"/>
        </w:rPr>
      </w:pPr>
      <w:r>
        <w:rPr>
          <w:rFonts w:ascii="Times New Roman" w:hAnsi="Times New Roman"/>
          <w:sz w:val="22"/>
        </w:rPr>
        <w:t>Dans le cas de marchés comportant des services après-vente et/ou de formation, la qualité technique de ces services doit également être évaluée en utilisant des critères</w:t>
      </w:r>
      <w:proofErr w:type="gramStart"/>
      <w:r>
        <w:rPr>
          <w:rFonts w:ascii="Times New Roman" w:hAnsi="Times New Roman"/>
          <w:sz w:val="22"/>
        </w:rPr>
        <w:t xml:space="preserve"> «oui</w:t>
      </w:r>
      <w:proofErr w:type="gramEnd"/>
      <w:r>
        <w:rPr>
          <w:rFonts w:ascii="Times New Roman" w:hAnsi="Times New Roman"/>
          <w:sz w:val="22"/>
        </w:rPr>
        <w:t>/</w:t>
      </w:r>
      <w:proofErr w:type="gramStart"/>
      <w:r>
        <w:rPr>
          <w:rFonts w:ascii="Times New Roman" w:hAnsi="Times New Roman"/>
          <w:sz w:val="22"/>
        </w:rPr>
        <w:t>non»</w:t>
      </w:r>
      <w:proofErr w:type="gramEnd"/>
      <w:r>
        <w:rPr>
          <w:rFonts w:ascii="Times New Roman" w:hAnsi="Times New Roman"/>
          <w:sz w:val="22"/>
        </w:rPr>
        <w:t xml:space="preserve"> tels que spécifiés dans le dossier d’appel d’offres.</w:t>
      </w:r>
    </w:p>
    <w:p w14:paraId="3AE476C4" w14:textId="77777777" w:rsidR="0047783A" w:rsidRPr="00E82463" w:rsidRDefault="0047783A" w:rsidP="0047783A">
      <w:pPr>
        <w:pStyle w:val="Heading2"/>
        <w:ind w:left="567" w:hanging="567"/>
        <w:jc w:val="both"/>
        <w:rPr>
          <w:rFonts w:ascii="Times New Roman" w:hAnsi="Times New Roman"/>
        </w:rPr>
      </w:pPr>
      <w:r>
        <w:rPr>
          <w:rFonts w:ascii="Times New Roman" w:hAnsi="Times New Roman"/>
          <w:sz w:val="22"/>
        </w:rPr>
        <w:t>20.3</w:t>
      </w:r>
      <w:r>
        <w:rPr>
          <w:rFonts w:ascii="Times New Roman" w:hAnsi="Times New Roman"/>
          <w:sz w:val="22"/>
        </w:rPr>
        <w:tab/>
        <w:t>Dans un souci de transparence et d’égalité de traitement, et afin de faciliter l’examen et l’évaluation des offres, le comité d’évaluation peut demander à chaque soumissionnaire des éclaircissements sur son offre, y compris sur la ventilation des prix, dans un délai raisonnable qui sera fixé par le comité d’évaluation. La demande d’éclaircissements et la réponse doivent être formulées par écrit, mais aucune modification du prix ou du contenu de l’offre ne pourra être demandée, proposée ou autorisée, sauf si elle est nécessaire pour confirmer la correction d’erreurs arithmétiques découvertes pendant l’évaluation des offres conformément au point 20.4. Aucune demande d’éclaircissements ne peut fausser la concurrence. Toute décision ayant pour effet de déclarer qu’une offre n’est pas conforme aux exigences techniques doit être dûment justifiée dans le procès-verbal d’évaluation.</w:t>
      </w:r>
    </w:p>
    <w:p w14:paraId="69AD1BD6" w14:textId="77777777" w:rsidR="0047783A" w:rsidRPr="00E82463" w:rsidRDefault="0047783A" w:rsidP="0047783A">
      <w:pPr>
        <w:pStyle w:val="Heading2"/>
        <w:ind w:left="567" w:hanging="567"/>
        <w:jc w:val="both"/>
        <w:rPr>
          <w:rFonts w:ascii="Times New Roman" w:hAnsi="Times New Roman"/>
          <w:sz w:val="22"/>
        </w:rPr>
      </w:pPr>
      <w:r>
        <w:rPr>
          <w:rFonts w:ascii="Times New Roman" w:hAnsi="Times New Roman"/>
          <w:sz w:val="22"/>
        </w:rPr>
        <w:t>20.4</w:t>
      </w:r>
      <w:r>
        <w:rPr>
          <w:rFonts w:ascii="Times New Roman" w:hAnsi="Times New Roman"/>
          <w:sz w:val="22"/>
        </w:rPr>
        <w:tab/>
        <w:t>Évaluation financière</w:t>
      </w:r>
    </w:p>
    <w:p w14:paraId="3111CA64" w14:textId="77777777" w:rsidR="0047783A" w:rsidRPr="00E82463" w:rsidRDefault="0047783A" w:rsidP="00E82463">
      <w:pPr>
        <w:tabs>
          <w:tab w:val="left" w:pos="851"/>
        </w:tabs>
        <w:spacing w:after="0"/>
        <w:ind w:left="851" w:hanging="284"/>
        <w:jc w:val="both"/>
        <w:rPr>
          <w:rFonts w:ascii="Times New Roman" w:hAnsi="Times New Roman"/>
          <w:sz w:val="22"/>
        </w:rPr>
      </w:pPr>
      <w:r>
        <w:rPr>
          <w:rFonts w:ascii="Times New Roman" w:hAnsi="Times New Roman"/>
          <w:sz w:val="22"/>
        </w:rPr>
        <w:t>a)</w:t>
      </w:r>
      <w:r>
        <w:rPr>
          <w:rFonts w:ascii="Times New Roman" w:hAnsi="Times New Roman"/>
          <w:sz w:val="22"/>
        </w:rPr>
        <w:tab/>
        <w:t xml:space="preserve">Les offres jugées conformes aux exigences techniques seront vérifiées en vue d’y déceler d’éventuelles erreurs arithmétiques dans les calculs et les totaux. Les erreurs seront corrigées par le comité d’évaluation de la manière </w:t>
      </w:r>
      <w:proofErr w:type="gramStart"/>
      <w:r>
        <w:rPr>
          <w:rFonts w:ascii="Times New Roman" w:hAnsi="Times New Roman"/>
          <w:sz w:val="22"/>
        </w:rPr>
        <w:t>suivante:</w:t>
      </w:r>
      <w:proofErr w:type="gramEnd"/>
    </w:p>
    <w:p w14:paraId="128E3C84"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Pr>
          <w:rFonts w:ascii="Times New Roman" w:hAnsi="Times New Roman"/>
          <w:sz w:val="22"/>
        </w:rPr>
        <w:t>–</w:t>
      </w:r>
      <w:r>
        <w:rPr>
          <w:rFonts w:ascii="Times New Roman" w:hAnsi="Times New Roman"/>
          <w:sz w:val="22"/>
        </w:rPr>
        <w:tab/>
        <w:t xml:space="preserve">en cas de divergence entre le montant en chiffres et le montant en lettres, le montant en lettres sera </w:t>
      </w:r>
      <w:proofErr w:type="gramStart"/>
      <w:r>
        <w:rPr>
          <w:rFonts w:ascii="Times New Roman" w:hAnsi="Times New Roman"/>
          <w:sz w:val="22"/>
        </w:rPr>
        <w:t>retenu;</w:t>
      </w:r>
      <w:proofErr w:type="gramEnd"/>
    </w:p>
    <w:p w14:paraId="75B453CA"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Pr>
          <w:rFonts w:ascii="Times New Roman" w:hAnsi="Times New Roman"/>
          <w:sz w:val="22"/>
        </w:rPr>
        <w:t>–</w:t>
      </w:r>
      <w:r>
        <w:rPr>
          <w:rFonts w:ascii="Times New Roman" w:hAnsi="Times New Roman"/>
          <w:sz w:val="22"/>
        </w:rPr>
        <w:tab/>
        <w:t>sauf pour les marchés à forfait, en cas de divergence entre un prix unitaire et le montant total obtenu en multipliant ce prix unitaire par la quantité, le prix unitaire indiqué sera retenu.</w:t>
      </w:r>
    </w:p>
    <w:p w14:paraId="21FF634C" w14:textId="77777777" w:rsidR="0047783A" w:rsidRDefault="0047783A" w:rsidP="00E82463">
      <w:pPr>
        <w:tabs>
          <w:tab w:val="left" w:pos="851"/>
        </w:tabs>
        <w:spacing w:after="0"/>
        <w:ind w:left="851" w:hanging="284"/>
        <w:jc w:val="both"/>
        <w:rPr>
          <w:rFonts w:ascii="Times New Roman" w:hAnsi="Times New Roman"/>
          <w:sz w:val="22"/>
        </w:rPr>
      </w:pPr>
      <w:r>
        <w:rPr>
          <w:rFonts w:ascii="Times New Roman" w:hAnsi="Times New Roman"/>
          <w:sz w:val="22"/>
        </w:rPr>
        <w:t>b)</w:t>
      </w:r>
      <w:r>
        <w:rPr>
          <w:rFonts w:ascii="Times New Roman" w:hAnsi="Times New Roman"/>
          <w:sz w:val="22"/>
        </w:rPr>
        <w:tab/>
        <w:t>Les montants ainsi corrigés seront contraignants pour le soumissionnaire. Si ce dernier ne les accepte pas, son offre sera rejetée.</w:t>
      </w:r>
    </w:p>
    <w:p w14:paraId="5D911846" w14:textId="77777777" w:rsidR="002456F1" w:rsidRDefault="002456F1" w:rsidP="009C1AB9">
      <w:pPr>
        <w:tabs>
          <w:tab w:val="left" w:pos="851"/>
        </w:tabs>
        <w:spacing w:after="0"/>
        <w:ind w:left="851" w:hanging="284"/>
        <w:jc w:val="both"/>
        <w:rPr>
          <w:rFonts w:ascii="Times New Roman" w:hAnsi="Times New Roman"/>
          <w:sz w:val="22"/>
        </w:rPr>
      </w:pPr>
      <w:r>
        <w:rPr>
          <w:rFonts w:ascii="Times New Roman" w:hAnsi="Times New Roman"/>
          <w:sz w:val="22"/>
        </w:rPr>
        <w:t xml:space="preserve">c) Sauf indication contraire, l’évaluation financière a pour objet d’identifier le soumissionnaire offrant le prix le plus bas. Si les spécifications techniques le prévoient, l’évaluation des offres peut tenir compte, non seulement des coûts d’acquisition, mais aussi, dans la mesure où ils sont pertinents, des coûts supportés pendant tout le cycle de vie des fournitures (par exemple, les frais de maintenance et les frais de fonctionnement), conformément aux spécifications </w:t>
      </w:r>
      <w:r>
        <w:rPr>
          <w:rFonts w:ascii="Times New Roman" w:hAnsi="Times New Roman"/>
          <w:sz w:val="22"/>
        </w:rPr>
        <w:lastRenderedPageBreak/>
        <w:t>techniques. En pareil cas, le pouvoir adjudicateur examinera en détail toutes les informations fournies par les soumissionnaires et formera son jugement en se basant sur le coût total le plus bas incluant les coûts additionnels.</w:t>
      </w:r>
    </w:p>
    <w:p w14:paraId="225D2214" w14:textId="77777777" w:rsidR="0047783A" w:rsidRPr="00E82463" w:rsidRDefault="0047783A" w:rsidP="0047783A">
      <w:pPr>
        <w:pStyle w:val="Heading2"/>
        <w:ind w:left="567" w:hanging="567"/>
        <w:jc w:val="both"/>
        <w:rPr>
          <w:rFonts w:ascii="Times New Roman" w:hAnsi="Times New Roman"/>
          <w:sz w:val="22"/>
        </w:rPr>
      </w:pPr>
      <w:r>
        <w:rPr>
          <w:rFonts w:ascii="Times New Roman" w:hAnsi="Times New Roman"/>
          <w:sz w:val="22"/>
        </w:rPr>
        <w:t>20.5</w:t>
      </w:r>
      <w:r>
        <w:rPr>
          <w:rFonts w:ascii="Times New Roman" w:hAnsi="Times New Roman"/>
          <w:sz w:val="22"/>
        </w:rPr>
        <w:tab/>
        <w:t>Variantes</w:t>
      </w:r>
    </w:p>
    <w:p w14:paraId="69F11B46" w14:textId="77777777" w:rsidR="0047783A" w:rsidRPr="00E82463" w:rsidRDefault="0047783A" w:rsidP="00FC6A15">
      <w:pPr>
        <w:ind w:left="567"/>
        <w:jc w:val="both"/>
      </w:pPr>
      <w:r>
        <w:rPr>
          <w:rFonts w:ascii="Times New Roman" w:hAnsi="Times New Roman"/>
          <w:sz w:val="22"/>
        </w:rPr>
        <w:t>Les variantes ne seront pas prises en considération.</w:t>
      </w:r>
    </w:p>
    <w:p w14:paraId="61B04D9B" w14:textId="77777777" w:rsidR="0047783A" w:rsidRPr="00E82463" w:rsidRDefault="0047783A" w:rsidP="0047783A">
      <w:pPr>
        <w:pStyle w:val="Heading2"/>
        <w:ind w:left="567" w:hanging="567"/>
        <w:jc w:val="both"/>
        <w:rPr>
          <w:rFonts w:ascii="Times New Roman" w:hAnsi="Times New Roman"/>
          <w:sz w:val="22"/>
        </w:rPr>
      </w:pPr>
      <w:r>
        <w:rPr>
          <w:rFonts w:ascii="Times New Roman" w:hAnsi="Times New Roman"/>
          <w:sz w:val="22"/>
        </w:rPr>
        <w:t>20.6</w:t>
      </w:r>
      <w:r>
        <w:rPr>
          <w:rFonts w:ascii="Times New Roman" w:hAnsi="Times New Roman"/>
          <w:sz w:val="22"/>
        </w:rPr>
        <w:tab/>
        <w:t>Critère d’attribution</w:t>
      </w:r>
    </w:p>
    <w:p w14:paraId="12EABB3E" w14:textId="76EFEFD6" w:rsidR="0048742A" w:rsidRDefault="0047783A" w:rsidP="0048742A">
      <w:pPr>
        <w:ind w:left="567"/>
        <w:jc w:val="both"/>
        <w:rPr>
          <w:rFonts w:ascii="Times New Roman" w:hAnsi="Times New Roman"/>
          <w:sz w:val="22"/>
          <w:szCs w:val="22"/>
        </w:rPr>
      </w:pPr>
      <w:r w:rsidRPr="00BD7402">
        <w:rPr>
          <w:rFonts w:ascii="Times New Roman" w:hAnsi="Times New Roman"/>
          <w:sz w:val="22"/>
          <w:szCs w:val="22"/>
        </w:rPr>
        <w:t xml:space="preserve">Lorsque les offres sont de qualité économique et technique équivalente, la préférence sera accordée à celles qui permettent la participation la plus large des États ACP. Pour de plus amples détails, voir la section 2.6.9. </w:t>
      </w:r>
      <w:proofErr w:type="gramStart"/>
      <w:r w:rsidRPr="00BD7402">
        <w:rPr>
          <w:rFonts w:ascii="Times New Roman" w:hAnsi="Times New Roman"/>
          <w:sz w:val="22"/>
          <w:szCs w:val="22"/>
        </w:rPr>
        <w:t>du</w:t>
      </w:r>
      <w:proofErr w:type="gramEnd"/>
      <w:r w:rsidRPr="00BD7402">
        <w:rPr>
          <w:rFonts w:ascii="Times New Roman" w:hAnsi="Times New Roman"/>
          <w:sz w:val="22"/>
          <w:szCs w:val="22"/>
        </w:rPr>
        <w:t xml:space="preserve"> PRAG.]</w:t>
      </w:r>
    </w:p>
    <w:p w14:paraId="1E6B308A" w14:textId="522481F7" w:rsidR="0048742A" w:rsidRPr="00A56251" w:rsidRDefault="0048742A" w:rsidP="009956B4">
      <w:pPr>
        <w:numPr>
          <w:ilvl w:val="1"/>
          <w:numId w:val="30"/>
        </w:numPr>
        <w:jc w:val="both"/>
        <w:rPr>
          <w:rFonts w:ascii="Times New Roman" w:hAnsi="Times New Roman"/>
          <w:sz w:val="22"/>
          <w:szCs w:val="22"/>
        </w:rPr>
      </w:pPr>
      <w:r>
        <w:rPr>
          <w:rFonts w:ascii="Times New Roman" w:hAnsi="Times New Roman"/>
          <w:sz w:val="22"/>
          <w:szCs w:val="22"/>
        </w:rPr>
        <w:t>Pièces justificatives relatives aux critères d’exclusion et de sélection</w:t>
      </w:r>
    </w:p>
    <w:p w14:paraId="7DB1D2B7" w14:textId="7ACD89EF" w:rsidR="00531CAA" w:rsidRPr="00BD7402" w:rsidRDefault="00531CAA" w:rsidP="009956B4">
      <w:pPr>
        <w:jc w:val="both"/>
        <w:rPr>
          <w:rFonts w:ascii="Times New Roman" w:hAnsi="Times New Roman"/>
          <w:sz w:val="22"/>
          <w:szCs w:val="22"/>
        </w:rPr>
      </w:pPr>
      <w:r w:rsidRPr="00BD7402">
        <w:rPr>
          <w:rFonts w:ascii="Times New Roman" w:hAnsi="Times New Roman"/>
          <w:color w:val="000000"/>
          <w:sz w:val="22"/>
          <w:szCs w:val="22"/>
        </w:rPr>
        <w:t>À tout moment au cours de la procédure de passation de marché et avant l’attribution du marché, le pouvoir adjudicateur peut demander les preuves documentaires attestant la conformité avec les critères d’exclusion définis dans les présentes instructions.]</w:t>
      </w:r>
    </w:p>
    <w:p w14:paraId="6B9F0CD1" w14:textId="3A317E46" w:rsidR="00531CAA" w:rsidRPr="00BD7402" w:rsidRDefault="00531CAA" w:rsidP="009956B4">
      <w:pPr>
        <w:jc w:val="both"/>
        <w:rPr>
          <w:rFonts w:ascii="Times New Roman" w:hAnsi="Times New Roman"/>
          <w:sz w:val="22"/>
          <w:szCs w:val="22"/>
        </w:rPr>
      </w:pPr>
      <w:r w:rsidRPr="00BD7402">
        <w:rPr>
          <w:rFonts w:ascii="Times New Roman" w:hAnsi="Times New Roman"/>
          <w:color w:val="000000"/>
          <w:sz w:val="22"/>
          <w:szCs w:val="22"/>
        </w:rPr>
        <w:t>Aucune pièce justificative relative aux critères de sélection ne sera soumise mais aucun préfinancement ne sera octroyé.]</w:t>
      </w:r>
    </w:p>
    <w:p w14:paraId="2BCEDC6D" w14:textId="01ECCAFD" w:rsidR="001719EB" w:rsidRPr="00BD7402" w:rsidRDefault="0048742A" w:rsidP="009956B4">
      <w:pPr>
        <w:jc w:val="both"/>
        <w:rPr>
          <w:rFonts w:ascii="Times New Roman" w:hAnsi="Times New Roman"/>
          <w:color w:val="000000"/>
          <w:sz w:val="22"/>
          <w:szCs w:val="22"/>
        </w:rPr>
      </w:pPr>
      <w:r w:rsidRPr="00BD7402">
        <w:rPr>
          <w:rFonts w:ascii="Times New Roman" w:hAnsi="Times New Roman"/>
          <w:sz w:val="22"/>
          <w:szCs w:val="22"/>
        </w:rPr>
        <w:t xml:space="preserve">À tout moment au cours de la procédure de passation de marché et avant l’attribution du marché, le pouvoir adjudicateur peut demander les pièces justificatives attestant la conformité avec les critères d’exclusion et de sélection (situation financière et économique et capacité technique et professionnelle) définis dans les présentes instructions. Veuillez noter qu’une demande de justificatifs ne signifie aucunement que le soumissionnaire a été retenu. </w:t>
      </w:r>
      <w:r w:rsidRPr="00BD7402">
        <w:rPr>
          <w:rFonts w:ascii="Times New Roman" w:hAnsi="Times New Roman"/>
          <w:b/>
          <w:sz w:val="22"/>
          <w:szCs w:val="22"/>
        </w:rPr>
        <w:t>Tous les soumissionnaires sont invités à préparer à l’avance les documents relatifs aux justificatifs, étant donné qu’ils peuvent être invités à les fournir dans un bref délai</w:t>
      </w:r>
      <w:r w:rsidRPr="00BD7402">
        <w:rPr>
          <w:rFonts w:ascii="Times New Roman" w:hAnsi="Times New Roman"/>
          <w:sz w:val="22"/>
          <w:szCs w:val="22"/>
        </w:rPr>
        <w:t xml:space="preserve">. En tout état de cause, le soumissionnaire proposé par le comité d’évaluation pour l’attribution du marché sera invité à fournir ces preuves v dans un bref délai. </w:t>
      </w:r>
    </w:p>
    <w:p w14:paraId="0AAE80D4" w14:textId="77777777" w:rsidR="0048742A" w:rsidRPr="00BD7402" w:rsidRDefault="0048742A" w:rsidP="009956B4">
      <w:pPr>
        <w:jc w:val="both"/>
        <w:rPr>
          <w:rFonts w:ascii="Times New Roman" w:hAnsi="Times New Roman"/>
          <w:sz w:val="22"/>
          <w:szCs w:val="22"/>
        </w:rPr>
      </w:pPr>
      <w:r w:rsidRPr="00BD7402">
        <w:rPr>
          <w:rFonts w:ascii="Times New Roman" w:hAnsi="Times New Roman"/>
          <w:sz w:val="22"/>
          <w:szCs w:val="22"/>
        </w:rPr>
        <w:t xml:space="preserve">Le cas échéant, pour ce qui est des critères d’exclusion, les soumissionnaires devraient être en mesure de fournir les pièces justificatives ou les déclarations requises par la législation nationale du pays dans lequel la société (ou chacune des sociétés en cas de consortium) est établie, et ce, afin de démontrer qu’ils ne se trouvent pas dans l’une des situations d’exclusion visées dans la section 2.6.10.1. </w:t>
      </w:r>
      <w:proofErr w:type="gramStart"/>
      <w:r w:rsidRPr="00BD7402">
        <w:rPr>
          <w:rFonts w:ascii="Times New Roman" w:hAnsi="Times New Roman"/>
          <w:sz w:val="22"/>
          <w:szCs w:val="22"/>
        </w:rPr>
        <w:t>du</w:t>
      </w:r>
      <w:proofErr w:type="gramEnd"/>
      <w:r w:rsidRPr="00BD7402">
        <w:rPr>
          <w:rFonts w:ascii="Times New Roman" w:hAnsi="Times New Roman"/>
          <w:sz w:val="22"/>
          <w:szCs w:val="22"/>
        </w:rPr>
        <w:t xml:space="preserve"> PRAG. </w:t>
      </w:r>
    </w:p>
    <w:p w14:paraId="4AA2AD90" w14:textId="683FC5FD" w:rsidR="0048742A" w:rsidRPr="00BD7402" w:rsidRDefault="0048742A" w:rsidP="009956B4">
      <w:pPr>
        <w:jc w:val="both"/>
        <w:outlineLvl w:val="0"/>
        <w:rPr>
          <w:rFonts w:ascii="Times New Roman" w:hAnsi="Times New Roman"/>
          <w:sz w:val="22"/>
          <w:szCs w:val="22"/>
        </w:rPr>
      </w:pPr>
      <w:r w:rsidRPr="00BD7402">
        <w:rPr>
          <w:rFonts w:ascii="Times New Roman" w:hAnsi="Times New Roman"/>
          <w:sz w:val="22"/>
          <w:szCs w:val="22"/>
        </w:rPr>
        <w:t xml:space="preserve">La date de ces preuves, documents ou déclarations ne doit pas être antérieure de plus d’un an à la date de soumission de l’offre. </w:t>
      </w:r>
    </w:p>
    <w:p w14:paraId="09D214DF" w14:textId="726587F5" w:rsidR="00124409" w:rsidRPr="00BD7402" w:rsidRDefault="00124409" w:rsidP="00124409">
      <w:pPr>
        <w:jc w:val="both"/>
        <w:rPr>
          <w:rFonts w:ascii="Times New Roman" w:hAnsi="Times New Roman"/>
          <w:sz w:val="22"/>
          <w:szCs w:val="22"/>
        </w:rPr>
      </w:pPr>
      <w:r w:rsidRPr="00BD7402">
        <w:rPr>
          <w:rFonts w:ascii="Times New Roman" w:hAnsi="Times New Roman"/>
          <w:sz w:val="22"/>
          <w:szCs w:val="22"/>
        </w:rPr>
        <w:t xml:space="preserve">Les documents susmentionnés doivent être soumis pour chaque membre d’une entreprise commune/d’un consortium, tous les sous-traitants et chaque entité pourvoyeuse de capacités. </w:t>
      </w:r>
    </w:p>
    <w:p w14:paraId="5DE9377D" w14:textId="19BB92C7" w:rsidR="0048742A" w:rsidRPr="00BD7402" w:rsidRDefault="0048742A" w:rsidP="009956B4">
      <w:pPr>
        <w:jc w:val="both"/>
        <w:outlineLvl w:val="0"/>
        <w:rPr>
          <w:rFonts w:ascii="Times New Roman" w:hAnsi="Times New Roman"/>
          <w:sz w:val="22"/>
          <w:szCs w:val="22"/>
        </w:rPr>
      </w:pPr>
      <w:r w:rsidRPr="00BD7402">
        <w:rPr>
          <w:rFonts w:ascii="Times New Roman" w:hAnsi="Times New Roman"/>
          <w:sz w:val="22"/>
          <w:szCs w:val="22"/>
        </w:rPr>
        <w:t>Le pouvoir adjudicateur peut dispenser un soumissionnaire de l’obligation de fournir les pièces justificatives visées ci-dessus si ces pièces ont déjà été soumises dans le cadre d’une autre procédure de passation de marché, pour autant que la date à laquelle ces documents ont été délivrés ne remonte pas à plus d’un an et qu’ils soient toujours valables. Dans ce cas, le soumissionnaire doit déclarer sur l’honneur que les pièces justificatives ont déjà été fournies lors d’une précédente procédure de passation de marché et confirmer que sa situation n’a pas changé.</w:t>
      </w:r>
    </w:p>
    <w:p w14:paraId="5702AFDE" w14:textId="77777777" w:rsidR="0048742A" w:rsidRPr="00BD7402" w:rsidRDefault="0048742A" w:rsidP="009956B4">
      <w:pPr>
        <w:jc w:val="both"/>
        <w:outlineLvl w:val="0"/>
        <w:rPr>
          <w:rFonts w:ascii="Times New Roman" w:hAnsi="Times New Roman"/>
          <w:sz w:val="22"/>
          <w:szCs w:val="22"/>
        </w:rPr>
      </w:pPr>
      <w:r w:rsidRPr="00BD7402">
        <w:rPr>
          <w:rFonts w:ascii="Times New Roman" w:hAnsi="Times New Roman"/>
          <w:sz w:val="22"/>
          <w:szCs w:val="22"/>
        </w:rPr>
        <w:t xml:space="preserve">Lorsque les pièces justificatives fournies sont établies dans une des langues officielles de l’Union européenne autre que celle de la procédure, il est vivement recommandé de fournir une traduction dans la langue de la procédure afin de faciliter l’évaluation des documents. </w:t>
      </w:r>
    </w:p>
    <w:p w14:paraId="1D21C259" w14:textId="77777777" w:rsidR="0048742A" w:rsidRPr="00BD7402" w:rsidRDefault="0048742A" w:rsidP="009956B4">
      <w:pPr>
        <w:jc w:val="both"/>
        <w:outlineLvl w:val="0"/>
        <w:rPr>
          <w:rFonts w:ascii="Times New Roman" w:hAnsi="Times New Roman"/>
          <w:sz w:val="22"/>
          <w:szCs w:val="22"/>
        </w:rPr>
      </w:pPr>
      <w:r w:rsidRPr="00BD7402">
        <w:rPr>
          <w:rFonts w:ascii="Times New Roman" w:hAnsi="Times New Roman"/>
          <w:sz w:val="22"/>
          <w:szCs w:val="22"/>
        </w:rPr>
        <w:lastRenderedPageBreak/>
        <w:t xml:space="preserve"> La non-présentation de pièces justificatives valables à la demande du pouvoir adjudicateur dans le délai établi par celui-ci peut conduire au rejet de l’offre pour l’attribution du marché, à moins que le soumissionnaire puisse justifier ce manquement par des motifs d’impossibilité matérielle.</w:t>
      </w:r>
    </w:p>
    <w:p w14:paraId="70BCCAC5" w14:textId="77777777" w:rsidR="0048742A" w:rsidRPr="009956B4" w:rsidRDefault="0048742A" w:rsidP="009956B4">
      <w:pPr>
        <w:jc w:val="both"/>
        <w:rPr>
          <w:rFonts w:ascii="Times New Roman" w:hAnsi="Times New Roman"/>
          <w:sz w:val="22"/>
          <w:szCs w:val="22"/>
        </w:rPr>
      </w:pPr>
      <w:r w:rsidRPr="00BD7402">
        <w:rPr>
          <w:rFonts w:ascii="Times New Roman" w:hAnsi="Times New Roman"/>
          <w:sz w:val="22"/>
          <w:szCs w:val="22"/>
        </w:rPr>
        <w:t xml:space="preserve">Si l’attributaire ne fournit pas les pièces justificatives ou la déclaration ou s’il s’avère qu’il a soumis des fausses informations, l’attribution sera considérée nulle et non avenue. Dans ce cas, le pouvoir adjudicateur peut attribuer le marché au deuxième soumissionnaire le moins-disant </w:t>
      </w:r>
      <w:proofErr w:type="gramStart"/>
      <w:r w:rsidRPr="00BD7402">
        <w:rPr>
          <w:rFonts w:ascii="Times New Roman" w:hAnsi="Times New Roman"/>
          <w:sz w:val="22"/>
          <w:szCs w:val="22"/>
        </w:rPr>
        <w:t>ou</w:t>
      </w:r>
      <w:proofErr w:type="gramEnd"/>
      <w:r w:rsidRPr="00BD7402">
        <w:rPr>
          <w:rFonts w:ascii="Times New Roman" w:hAnsi="Times New Roman"/>
          <w:sz w:val="22"/>
          <w:szCs w:val="22"/>
        </w:rPr>
        <w:t xml:space="preserve"> annuler l’appel d’offres.]</w:t>
      </w:r>
    </w:p>
    <w:p w14:paraId="31D5299C" w14:textId="09121EDE" w:rsidR="0048742A" w:rsidRPr="0048742A" w:rsidRDefault="0048742A" w:rsidP="009956B4">
      <w:pPr>
        <w:tabs>
          <w:tab w:val="left" w:pos="1720"/>
        </w:tabs>
        <w:ind w:left="567"/>
        <w:jc w:val="both"/>
        <w:rPr>
          <w:rFonts w:ascii="Times New Roman" w:hAnsi="Times New Roman"/>
          <w:sz w:val="22"/>
          <w:szCs w:val="22"/>
        </w:rPr>
      </w:pPr>
    </w:p>
    <w:p w14:paraId="3B82FCC1" w14:textId="77777777" w:rsidR="00EA1ADC" w:rsidRDefault="00EA1ADC" w:rsidP="00C348C0">
      <w:pPr>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t>Notification de l’attribution</w:t>
      </w:r>
    </w:p>
    <w:p w14:paraId="7F0885EA" w14:textId="77777777" w:rsidR="00032EDE" w:rsidRPr="00580F0C" w:rsidRDefault="00032EDE" w:rsidP="00032EDE">
      <w:pPr>
        <w:ind w:left="567"/>
        <w:jc w:val="both"/>
        <w:rPr>
          <w:rFonts w:ascii="Times New Roman" w:hAnsi="Times New Roman"/>
          <w:sz w:val="22"/>
        </w:rPr>
      </w:pPr>
      <w:r>
        <w:rPr>
          <w:rFonts w:ascii="Times New Roman" w:hAnsi="Times New Roman"/>
          <w:sz w:val="22"/>
        </w:rPr>
        <w:t>En soumettant une offre, chaque soumissionnaire accepte d’être informé des résultats de la procédure par voie électronique. Cette notification est réputée avoir été reçue à la date à laquelle le pouvoir adjudicateur l’envoie à l’adresse électronique indiquée dans l’offre.</w:t>
      </w:r>
    </w:p>
    <w:p w14:paraId="2B2744C4" w14:textId="5B06BB71"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Le pouvoir adjudicateur informera simultanément et individuellement tous les soumissionnaires de la décision d’attribution. Les garanties de soumission seront restituées aux soumissionnaires non retenus une fois que le contrat aura été signé. </w:t>
      </w:r>
      <w:r>
        <w:rPr>
          <w:rFonts w:ascii="Times New Roman" w:hAnsi="Times New Roman"/>
          <w:sz w:val="22"/>
        </w:rPr>
        <w:t>L’attributaire sera informé par écrit que son offre a été retenue (notification de l’attribution).</w:t>
      </w:r>
    </w:p>
    <w:p w14:paraId="1C85E614" w14:textId="77777777" w:rsidR="0047783A" w:rsidRPr="001A2BC4" w:rsidRDefault="00EA1ADC" w:rsidP="009956B4">
      <w:pPr>
        <w:pStyle w:val="Heading1"/>
      </w:pPr>
      <w:bookmarkStart w:id="28" w:name="_Toc41467298"/>
      <w:bookmarkStart w:id="29" w:name="_Toc42488090"/>
      <w:r>
        <w:t>22.</w:t>
      </w:r>
      <w:r>
        <w:tab/>
        <w:t>Signature du contrat et garantie de bonne exécution</w:t>
      </w:r>
      <w:bookmarkStart w:id="30" w:name="_Ref500418776"/>
      <w:bookmarkEnd w:id="28"/>
      <w:bookmarkEnd w:id="29"/>
    </w:p>
    <w:p w14:paraId="2DC2476A" w14:textId="22D332A5" w:rsidR="0047783A" w:rsidRPr="00E07D2A" w:rsidRDefault="0047783A" w:rsidP="0047783A">
      <w:pPr>
        <w:ind w:left="567" w:hanging="567"/>
        <w:jc w:val="both"/>
        <w:outlineLvl w:val="0"/>
        <w:rPr>
          <w:rFonts w:ascii="Times New Roman" w:hAnsi="Times New Roman"/>
          <w:sz w:val="22"/>
        </w:rPr>
      </w:pPr>
      <w:r>
        <w:rPr>
          <w:rFonts w:ascii="Times New Roman" w:hAnsi="Times New Roman"/>
          <w:sz w:val="22"/>
          <w:szCs w:val="22"/>
        </w:rPr>
        <w:t>22.</w:t>
      </w:r>
      <w:r>
        <w:rPr>
          <w:rFonts w:ascii="Times New Roman" w:hAnsi="Times New Roman"/>
        </w:rPr>
        <w:t>1</w:t>
      </w:r>
      <w:r>
        <w:rPr>
          <w:rFonts w:ascii="Times New Roman" w:hAnsi="Times New Roman"/>
        </w:rPr>
        <w:tab/>
      </w:r>
      <w:r>
        <w:rPr>
          <w:rFonts w:ascii="Times New Roman" w:hAnsi="Times New Roman"/>
          <w:sz w:val="22"/>
          <w:szCs w:val="22"/>
        </w:rPr>
        <w:t xml:space="preserve">Le pouvoir adjudicateur se réserve le droit de modifier les quantités prévues dans l’offre de plus ou moins 100 % au moment de la passation du marché et au cours de la période de validité du marché. L’augmentation ou la réduction de la valeur totale des fournitures résultant de cette modification ne peut excéder 25 % du montant de l’offre financière originale. Les prix unitaires qui figurent dans l’offre seront utilisés. </w:t>
      </w:r>
    </w:p>
    <w:p w14:paraId="113A701F" w14:textId="1B4AA1D6" w:rsidR="0047783A" w:rsidRPr="00E07D2A" w:rsidRDefault="0047783A" w:rsidP="0047783A">
      <w:pPr>
        <w:pStyle w:val="Heading2"/>
        <w:keepNext w:val="0"/>
        <w:ind w:left="567" w:hanging="567"/>
        <w:jc w:val="both"/>
        <w:rPr>
          <w:rFonts w:ascii="Times New Roman" w:hAnsi="Times New Roman"/>
        </w:rPr>
      </w:pPr>
      <w:r>
        <w:rPr>
          <w:rFonts w:ascii="Times New Roman" w:hAnsi="Times New Roman"/>
          <w:sz w:val="22"/>
          <w:szCs w:val="22"/>
        </w:rPr>
        <w:t>22.2</w:t>
      </w:r>
      <w:r>
        <w:rPr>
          <w:rFonts w:ascii="Times New Roman" w:hAnsi="Times New Roman"/>
          <w:sz w:val="22"/>
        </w:rPr>
        <w:tab/>
        <w:t>Dans un délai de 30 jours à compter de la réception du contrat signé par le pouvoir adjudicateur, l’attributaire doit signer et dater le contrat et le renvoyer, accompagné de la garantie de bonne exécution (si applicable), au pouvoir adjudicateur. Dès le moment où il signe le contrat, l’attributaire devient le contractant et le contrat entre en vigueur.</w:t>
      </w:r>
    </w:p>
    <w:bookmarkEnd w:id="30"/>
    <w:p w14:paraId="09EC1B19" w14:textId="16CD088B" w:rsidR="0047783A" w:rsidRPr="00E07D2A" w:rsidRDefault="0047783A" w:rsidP="0047783A">
      <w:pPr>
        <w:pStyle w:val="Heading2"/>
        <w:keepNext w:val="0"/>
        <w:ind w:left="567" w:hanging="567"/>
        <w:jc w:val="both"/>
        <w:rPr>
          <w:rFonts w:ascii="Times New Roman" w:hAnsi="Times New Roman"/>
          <w:sz w:val="22"/>
        </w:rPr>
      </w:pPr>
      <w:r>
        <w:rPr>
          <w:rFonts w:ascii="Times New Roman" w:hAnsi="Times New Roman"/>
          <w:sz w:val="22"/>
          <w:szCs w:val="22"/>
        </w:rPr>
        <w:t>22.3</w:t>
      </w:r>
      <w:r>
        <w:rPr>
          <w:rFonts w:ascii="Times New Roman" w:hAnsi="Times New Roman"/>
          <w:sz w:val="22"/>
        </w:rPr>
        <w:tab/>
        <w:t>Si l’attributaire ne signe pas le contrat et ne le renvoie pas, accompagné de la garantie financière requise, dans un délai de 30 jours à compter de la réception de la notification, le pouvoir adjudicateur peut considérer l’acceptation de l’offre comme nulle et non avenue, sans préjudice du droit de ce dernier de saisir la garantie, de demander une réparation ou d’exercer tout autre recours du fait de ce manquement et l’attributaire n’aura aucune possibilité de contestation.</w:t>
      </w:r>
    </w:p>
    <w:p w14:paraId="41D84CA6" w14:textId="60C97B9F" w:rsidR="0047783A" w:rsidRPr="00E07D2A" w:rsidRDefault="0047783A" w:rsidP="0047783A">
      <w:pPr>
        <w:tabs>
          <w:tab w:val="num" w:pos="709"/>
        </w:tabs>
        <w:ind w:left="567" w:hanging="567"/>
        <w:jc w:val="both"/>
        <w:outlineLvl w:val="0"/>
        <w:rPr>
          <w:rFonts w:ascii="Times New Roman" w:hAnsi="Times New Roman"/>
          <w:sz w:val="22"/>
        </w:rPr>
      </w:pPr>
      <w:r>
        <w:rPr>
          <w:rFonts w:ascii="Times New Roman" w:hAnsi="Times New Roman"/>
          <w:sz w:val="22"/>
          <w:szCs w:val="22"/>
        </w:rPr>
        <w:t>22.4</w:t>
      </w:r>
      <w:r>
        <w:rPr>
          <w:rFonts w:ascii="Times New Roman" w:hAnsi="Times New Roman"/>
        </w:rPr>
        <w:tab/>
      </w:r>
      <w:r>
        <w:rPr>
          <w:rFonts w:ascii="Times New Roman" w:hAnsi="Times New Roman"/>
          <w:sz w:val="22"/>
        </w:rPr>
        <w:t>La garantie de bonne exécution mentionnée dans les conditions générales est fixée à &lt;</w:t>
      </w:r>
      <w:r>
        <w:rPr>
          <w:rFonts w:ascii="Times New Roman" w:hAnsi="Times New Roman"/>
          <w:sz w:val="22"/>
          <w:szCs w:val="22"/>
          <w:highlight w:val="yellow"/>
        </w:rPr>
        <w:t xml:space="preserve"> 5 %</w:t>
      </w:r>
      <w:r>
        <w:rPr>
          <w:rFonts w:ascii="Times New Roman" w:hAnsi="Times New Roman"/>
          <w:sz w:val="22"/>
        </w:rPr>
        <w:t xml:space="preserve">&gt; du montant du marché. La garantie de bonne exécution doit être présentée sous la forme précisée dans l’annexe du dossier d’appel d’offres. Elle sera libérée dans les </w:t>
      </w:r>
      <w:r w:rsidR="00BC2D2B">
        <w:rPr>
          <w:rFonts w:ascii="Times New Roman" w:hAnsi="Times New Roman"/>
          <w:sz w:val="22"/>
        </w:rPr>
        <w:t>60</w:t>
      </w:r>
      <w:r>
        <w:rPr>
          <w:rFonts w:ascii="Times New Roman" w:hAnsi="Times New Roman"/>
          <w:sz w:val="22"/>
        </w:rPr>
        <w:t> jours suivant la délivrance du certificat de réception définitive par le pouvoir adjudicateur, sauf pour la partie correspondant au service après-vente. Pour les marchés dont la valeur est inférieure ou égale à 150 000 EUR, le pouvoir adjudicateur peut décider, en se basant sur des critères objectifs tels que le type et la valeur du marché, de ne pas exiger cette garantie.</w:t>
      </w:r>
    </w:p>
    <w:p w14:paraId="2201497C" w14:textId="77777777" w:rsidR="0047783A" w:rsidRPr="001A2BC4" w:rsidRDefault="00EA1ADC" w:rsidP="009956B4">
      <w:pPr>
        <w:pStyle w:val="Heading1"/>
      </w:pPr>
      <w:bookmarkStart w:id="31" w:name="_Toc41467299"/>
      <w:bookmarkStart w:id="32" w:name="_Toc42488091"/>
      <w:r>
        <w:t>23.</w:t>
      </w:r>
      <w:r>
        <w:tab/>
        <w:t>Garantie de soumission</w:t>
      </w:r>
      <w:bookmarkEnd w:id="31"/>
      <w:bookmarkEnd w:id="32"/>
    </w:p>
    <w:p w14:paraId="37999967" w14:textId="17C6255D" w:rsidR="008718AA" w:rsidRPr="00E82463" w:rsidRDefault="002B7402" w:rsidP="00E07D2A">
      <w:pPr>
        <w:ind w:left="567"/>
        <w:jc w:val="both"/>
        <w:outlineLvl w:val="0"/>
        <w:rPr>
          <w:rFonts w:ascii="Times New Roman" w:hAnsi="Times New Roman"/>
          <w:sz w:val="22"/>
        </w:rPr>
      </w:pPr>
      <w:r>
        <w:rPr>
          <w:rFonts w:ascii="Times New Roman" w:hAnsi="Times New Roman"/>
          <w:sz w:val="22"/>
          <w:szCs w:val="22"/>
          <w:highlight w:val="lightGray"/>
        </w:rPr>
        <w:t>Aucune garantie de soumission n’est requise</w:t>
      </w:r>
      <w:r>
        <w:rPr>
          <w:rFonts w:ascii="Times New Roman" w:hAnsi="Times New Roman"/>
          <w:highlight w:val="lightGray"/>
        </w:rPr>
        <w:t>.</w:t>
      </w:r>
    </w:p>
    <w:p w14:paraId="1A9EE00F" w14:textId="77777777" w:rsidR="0047783A" w:rsidRPr="001A2BC4" w:rsidRDefault="00EA1ADC" w:rsidP="009956B4">
      <w:pPr>
        <w:pStyle w:val="Heading1"/>
      </w:pPr>
      <w:bookmarkStart w:id="33" w:name="_Toc42488092"/>
      <w:r>
        <w:lastRenderedPageBreak/>
        <w:t xml:space="preserve">24. </w:t>
      </w:r>
      <w:bookmarkStart w:id="34" w:name="_Toc41467300"/>
      <w:r>
        <w:t>Clauses déontologiques</w:t>
      </w:r>
      <w:bookmarkEnd w:id="33"/>
      <w:bookmarkEnd w:id="34"/>
      <w:r>
        <w:t xml:space="preserve"> et code de conduite</w:t>
      </w:r>
    </w:p>
    <w:p w14:paraId="5C06588B" w14:textId="77777777" w:rsidR="00442FF2" w:rsidRDefault="0047783A" w:rsidP="0047783A">
      <w:pPr>
        <w:pStyle w:val="Heading2"/>
        <w:keepNext w:val="0"/>
        <w:ind w:left="567" w:hanging="567"/>
        <w:jc w:val="both"/>
        <w:rPr>
          <w:rFonts w:ascii="Times New Roman" w:hAnsi="Times New Roman"/>
          <w:sz w:val="22"/>
          <w:u w:val="single"/>
        </w:rPr>
      </w:pPr>
      <w:r>
        <w:rPr>
          <w:rFonts w:ascii="Times New Roman" w:hAnsi="Times New Roman"/>
          <w:sz w:val="22"/>
        </w:rPr>
        <w:t>24.1</w:t>
      </w:r>
      <w:r>
        <w:rPr>
          <w:rFonts w:ascii="Times New Roman" w:hAnsi="Times New Roman"/>
          <w:sz w:val="22"/>
        </w:rPr>
        <w:tab/>
      </w:r>
      <w:r>
        <w:rPr>
          <w:rFonts w:ascii="Times New Roman" w:hAnsi="Times New Roman"/>
          <w:sz w:val="22"/>
          <w:u w:val="single"/>
        </w:rPr>
        <w:t>Absence de conflit d’intérêts</w:t>
      </w:r>
    </w:p>
    <w:p w14:paraId="7A7FB611" w14:textId="77777777" w:rsidR="00442FF2" w:rsidRPr="00C348C0" w:rsidRDefault="00442FF2" w:rsidP="00442FF2">
      <w:pPr>
        <w:keepNext/>
        <w:ind w:left="420"/>
        <w:jc w:val="both"/>
        <w:rPr>
          <w:rFonts w:ascii="Times New Roman" w:hAnsi="Times New Roman"/>
          <w:sz w:val="22"/>
          <w:szCs w:val="22"/>
        </w:rPr>
      </w:pPr>
      <w:r>
        <w:rPr>
          <w:rFonts w:ascii="Times New Roman" w:hAnsi="Times New Roman"/>
          <w:sz w:val="22"/>
          <w:szCs w:val="22"/>
        </w:rPr>
        <w:t xml:space="preserve">Le soumissionnaire ne peut avoir aucun conflit d’intérêts ni aucun lien spécifique équivalent avec d’autres soumissionnaires ou d’autres parties au projet. Toute tentative d’un soumissionnaire visant à se procurer des informations confidentielles, à conclure des accords illicites avec ses concurrents ou à influencer le comité d’évaluation ou le pouvoir adjudicateur au cours de la procédure d’examen, de clarification, d’évaluation et de comparaison des offres entraînera le rejet de son offre et l’expose à des sanctions administratives conformément au règlement financier en vigueur. </w:t>
      </w:r>
    </w:p>
    <w:p w14:paraId="1078A7C2" w14:textId="77777777" w:rsidR="00442FF2" w:rsidRDefault="0047783A" w:rsidP="00442FF2">
      <w:pPr>
        <w:pStyle w:val="Heading2"/>
        <w:keepNext w:val="0"/>
        <w:ind w:left="567" w:hanging="567"/>
        <w:jc w:val="both"/>
        <w:rPr>
          <w:rFonts w:ascii="Times New Roman" w:hAnsi="Times New Roman"/>
          <w:sz w:val="22"/>
        </w:rPr>
      </w:pPr>
      <w:r>
        <w:rPr>
          <w:rFonts w:ascii="Times New Roman" w:hAnsi="Times New Roman"/>
          <w:sz w:val="22"/>
        </w:rPr>
        <w:t>24.2</w:t>
      </w:r>
      <w:r>
        <w:rPr>
          <w:rFonts w:ascii="Times New Roman" w:hAnsi="Times New Roman"/>
          <w:sz w:val="22"/>
        </w:rPr>
        <w:tab/>
      </w:r>
      <w:r>
        <w:rPr>
          <w:rFonts w:ascii="Times New Roman" w:hAnsi="Times New Roman"/>
          <w:sz w:val="22"/>
          <w:u w:val="single"/>
        </w:rPr>
        <w:t>Respect des droits de l’homme, de la législation en matière d’environnement et des normes fondamentales du travail</w:t>
      </w:r>
      <w:r>
        <w:rPr>
          <w:rFonts w:ascii="Times New Roman" w:hAnsi="Times New Roman"/>
          <w:sz w:val="22"/>
        </w:rPr>
        <w:t xml:space="preserve"> </w:t>
      </w:r>
    </w:p>
    <w:p w14:paraId="7FC8816F" w14:textId="328A3D95" w:rsidR="00442FF2" w:rsidRDefault="00442FF2" w:rsidP="00442FF2">
      <w:pPr>
        <w:keepNext/>
        <w:ind w:left="420"/>
        <w:jc w:val="both"/>
        <w:rPr>
          <w:rFonts w:ascii="Times New Roman" w:hAnsi="Times New Roman"/>
          <w:sz w:val="22"/>
          <w:szCs w:val="22"/>
        </w:rPr>
      </w:pPr>
      <w:r>
        <w:rPr>
          <w:rFonts w:ascii="Times New Roman" w:hAnsi="Times New Roman"/>
          <w:sz w:val="22"/>
          <w:szCs w:val="22"/>
        </w:rPr>
        <w:t>Le soumissionnaire et son personnel doivent respecter les droits de l’homme ainsi que les règles applicables en matière de protection des données. En particulier et conformément à l’acte de base applicable, les soumissionnaires et les candidats qui se voient attribuer un marché ou une subvention respectent la législation environnementale, notamment les accords multilatéraux en matière environnementale, ainsi que les normes fondamentales en matière de travail applicables, telles que définies dans les conventions pertinentes de l’Organisation internationale du travail (notamment les conventions sur la liberté syndicale et la négociation collective, l’abolition du travail forcé et obligatoire; l’abolition du travail des enfants).</w:t>
      </w:r>
    </w:p>
    <w:p w14:paraId="4A1A75DC"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Pr>
          <w:rFonts w:ascii="Times New Roman" w:hAnsi="Times New Roman"/>
          <w:b/>
          <w:sz w:val="22"/>
          <w:szCs w:val="22"/>
        </w:rPr>
        <w:t>Tolérance zéro pour l’exploitation, l’abus et le harcèlement sexuels</w:t>
      </w:r>
    </w:p>
    <w:p w14:paraId="7428608B" w14:textId="76694712"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proofErr w:type="gramStart"/>
      <w:r>
        <w:rPr>
          <w:rFonts w:ascii="Times New Roman" w:hAnsi="Times New Roman"/>
          <w:sz w:val="22"/>
          <w:szCs w:val="22"/>
        </w:rPr>
        <w:t>la</w:t>
      </w:r>
      <w:proofErr w:type="gramEnd"/>
      <w:r>
        <w:rPr>
          <w:rFonts w:ascii="Times New Roman" w:hAnsi="Times New Roman"/>
          <w:sz w:val="22"/>
          <w:szCs w:val="22"/>
        </w:rPr>
        <w:t xml:space="preserve"> Commission européenne applique une politique de</w:t>
      </w:r>
      <w:r w:rsidR="00074CF2">
        <w:rPr>
          <w:rFonts w:ascii="Times New Roman" w:hAnsi="Times New Roman"/>
          <w:sz w:val="22"/>
          <w:szCs w:val="22"/>
        </w:rPr>
        <w:t xml:space="preserve"> « tolérance</w:t>
      </w:r>
      <w:r>
        <w:rPr>
          <w:rFonts w:ascii="Times New Roman" w:hAnsi="Times New Roman"/>
          <w:sz w:val="22"/>
          <w:szCs w:val="22"/>
        </w:rPr>
        <w:t xml:space="preserve"> </w:t>
      </w:r>
      <w:r w:rsidR="00074CF2">
        <w:rPr>
          <w:rFonts w:ascii="Times New Roman" w:hAnsi="Times New Roman"/>
          <w:sz w:val="22"/>
          <w:szCs w:val="22"/>
        </w:rPr>
        <w:t>zéro »</w:t>
      </w:r>
      <w:r>
        <w:rPr>
          <w:rFonts w:ascii="Times New Roman" w:hAnsi="Times New Roman"/>
          <w:sz w:val="22"/>
          <w:szCs w:val="22"/>
        </w:rPr>
        <w:t xml:space="preserve"> en ce qui concerne l’ensemble des comportements fautifs ayant une incidence sur la crédibilité professionnelle du soumissionnaire. </w:t>
      </w:r>
    </w:p>
    <w:p w14:paraId="4C0CBCB7"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Pr>
          <w:rFonts w:ascii="Times New Roman" w:hAnsi="Times New Roman"/>
          <w:sz w:val="22"/>
          <w:szCs w:val="22"/>
        </w:rPr>
        <w:t xml:space="preserve">Toute forme de violence physique ou de punition, ainsi que les menaces de violence physique, les abus et l’exploitation sexuels, le harcèlement et la violence verbale, ou toute autre forme d’intimidation sont interdits. </w:t>
      </w:r>
    </w:p>
    <w:p w14:paraId="1FB09B03" w14:textId="77777777" w:rsidR="00442FF2" w:rsidRPr="00C348C0" w:rsidRDefault="00442FF2" w:rsidP="00442FF2">
      <w:pPr>
        <w:keepNext/>
        <w:ind w:left="420"/>
        <w:jc w:val="both"/>
        <w:rPr>
          <w:rFonts w:ascii="Times New Roman" w:hAnsi="Times New Roman"/>
          <w:sz w:val="22"/>
          <w:szCs w:val="22"/>
        </w:rPr>
      </w:pPr>
    </w:p>
    <w:p w14:paraId="55379675" w14:textId="77777777" w:rsidR="00442FF2" w:rsidRDefault="0047783A" w:rsidP="00442FF2">
      <w:pPr>
        <w:pStyle w:val="Heading2"/>
        <w:keepNext w:val="0"/>
        <w:ind w:left="567" w:hanging="567"/>
        <w:jc w:val="both"/>
        <w:rPr>
          <w:rFonts w:ascii="Times New Roman" w:hAnsi="Times New Roman"/>
          <w:sz w:val="22"/>
          <w:u w:val="single"/>
        </w:rPr>
      </w:pPr>
      <w:r>
        <w:rPr>
          <w:rFonts w:ascii="Times New Roman" w:hAnsi="Times New Roman"/>
          <w:sz w:val="22"/>
        </w:rPr>
        <w:t>24.3</w:t>
      </w:r>
      <w:r>
        <w:t xml:space="preserve"> </w:t>
      </w:r>
      <w:r>
        <w:rPr>
          <w:rFonts w:ascii="Times New Roman" w:hAnsi="Times New Roman"/>
          <w:sz w:val="22"/>
          <w:u w:val="single"/>
        </w:rPr>
        <w:t>Lutte contre la corruption</w:t>
      </w:r>
    </w:p>
    <w:p w14:paraId="5093F493" w14:textId="77777777" w:rsidR="0047783A" w:rsidRPr="00E82463" w:rsidRDefault="00442FF2" w:rsidP="00FC6A15">
      <w:pPr>
        <w:ind w:left="420"/>
        <w:jc w:val="both"/>
        <w:rPr>
          <w:rFonts w:ascii="Times New Roman" w:hAnsi="Times New Roman"/>
          <w:sz w:val="22"/>
        </w:rPr>
      </w:pPr>
      <w:r>
        <w:rPr>
          <w:rFonts w:ascii="Times New Roman" w:hAnsi="Times New Roman"/>
          <w:sz w:val="22"/>
          <w:szCs w:val="22"/>
        </w:rPr>
        <w:t xml:space="preserve">Le soumissionnaire doit respecter l’ensemble des législations, réglementations et codes applicables ayant trait à la lutte contre la corruption. La Commission européenne se réserve le droit de suspendre ou d’annuler le financement des projets si des pratiques de corruption de quelque nature qu’elles soient </w:t>
      </w:r>
      <w:proofErr w:type="gramStart"/>
      <w:r>
        <w:rPr>
          <w:rFonts w:ascii="Times New Roman" w:hAnsi="Times New Roman"/>
          <w:sz w:val="22"/>
          <w:szCs w:val="22"/>
        </w:rPr>
        <w:t>sont</w:t>
      </w:r>
      <w:proofErr w:type="gramEnd"/>
      <w:r>
        <w:rPr>
          <w:rFonts w:ascii="Times New Roman" w:hAnsi="Times New Roman"/>
          <w:sz w:val="22"/>
          <w:szCs w:val="22"/>
        </w:rPr>
        <w:t xml:space="preserve"> découvertes à toute étape de la procédure de passation du marché ou pendant l’exécution d’un marché et si le pouvoir adjudicateur ne prend pas toutes les mesures appropriées pour remédier à cette situation. Au sens de la présente disposition, on entend par</w:t>
      </w:r>
      <w:proofErr w:type="gramStart"/>
      <w:r>
        <w:rPr>
          <w:rFonts w:ascii="Times New Roman" w:hAnsi="Times New Roman"/>
          <w:sz w:val="22"/>
          <w:szCs w:val="22"/>
        </w:rPr>
        <w:t xml:space="preserve"> «pratiques</w:t>
      </w:r>
      <w:proofErr w:type="gramEnd"/>
      <w:r>
        <w:rPr>
          <w:rFonts w:ascii="Times New Roman" w:hAnsi="Times New Roman"/>
          <w:sz w:val="22"/>
          <w:szCs w:val="22"/>
        </w:rPr>
        <w:t xml:space="preserve"> de </w:t>
      </w:r>
      <w:proofErr w:type="gramStart"/>
      <w:r>
        <w:rPr>
          <w:rFonts w:ascii="Times New Roman" w:hAnsi="Times New Roman"/>
          <w:sz w:val="22"/>
          <w:szCs w:val="22"/>
        </w:rPr>
        <w:t>corruption»</w:t>
      </w:r>
      <w:proofErr w:type="gramEnd"/>
      <w:r>
        <w:rPr>
          <w:rFonts w:ascii="Times New Roman" w:hAnsi="Times New Roman"/>
          <w:sz w:val="22"/>
          <w:szCs w:val="22"/>
        </w:rPr>
        <w:t xml:space="preserve"> l’offre faite à toute personne d’un paiement illicite, d’un présent, d’une gratification ou d’une commission à titre d’incitation ou de récompense pour qu’elle accomplisse ou s’abstienne d’accomplir des actes ayant trait à l’attribution d’un marché ou à l’exécution d’un marché déjà conclu avec le pouvoir adjudicateur.</w:t>
      </w:r>
    </w:p>
    <w:p w14:paraId="571A7EB9" w14:textId="77777777" w:rsidR="00442FF2" w:rsidRDefault="0047783A" w:rsidP="0047783A">
      <w:pPr>
        <w:pStyle w:val="Heading2"/>
        <w:keepNext w:val="0"/>
        <w:ind w:left="567" w:hanging="567"/>
        <w:jc w:val="both"/>
        <w:rPr>
          <w:rFonts w:ascii="Times New Roman" w:hAnsi="Times New Roman"/>
          <w:sz w:val="22"/>
        </w:rPr>
      </w:pPr>
      <w:r>
        <w:rPr>
          <w:rFonts w:ascii="Times New Roman" w:hAnsi="Times New Roman"/>
          <w:sz w:val="22"/>
        </w:rPr>
        <w:t>24.4</w:t>
      </w:r>
      <w:r>
        <w:rPr>
          <w:rFonts w:ascii="Times New Roman" w:hAnsi="Times New Roman"/>
          <w:sz w:val="22"/>
        </w:rPr>
        <w:tab/>
      </w:r>
      <w:r>
        <w:rPr>
          <w:rFonts w:ascii="Times New Roman" w:hAnsi="Times New Roman"/>
          <w:sz w:val="22"/>
          <w:u w:val="single"/>
        </w:rPr>
        <w:t>Frais commerciaux extraordinaires</w:t>
      </w:r>
      <w:r>
        <w:rPr>
          <w:rFonts w:ascii="Times New Roman" w:hAnsi="Times New Roman"/>
          <w:sz w:val="22"/>
        </w:rPr>
        <w:t xml:space="preserve"> </w:t>
      </w:r>
    </w:p>
    <w:p w14:paraId="2E7C5873" w14:textId="77777777" w:rsidR="00442FF2" w:rsidRPr="00C348C0" w:rsidRDefault="00442FF2" w:rsidP="00442FF2">
      <w:pPr>
        <w:ind w:left="397"/>
        <w:jc w:val="both"/>
        <w:rPr>
          <w:rFonts w:ascii="Times New Roman" w:hAnsi="Times New Roman"/>
          <w:sz w:val="22"/>
          <w:szCs w:val="22"/>
        </w:rPr>
      </w:pPr>
      <w:r>
        <w:rPr>
          <w:rFonts w:ascii="Times New Roman" w:hAnsi="Times New Roman"/>
          <w:sz w:val="22"/>
          <w:szCs w:val="22"/>
        </w:rPr>
        <w:t xml:space="preserve">Toute offre sera rejetée ou tout marché annulé s’il s’avère que l’attribution du marché ou son exécution a donné lieu à des frais commerciaux extraordinaires. Les frais commerciaux extraordinaires sont des commissions qui ne sont pas mentionnées dans le marché principal ou qui ne résultent pas d’un marché passé en bonne et due forme faisant référence au marché principal, des commissions qui ne sont pas versées en échange d’un service légitime effectif, des commissions </w:t>
      </w:r>
      <w:r>
        <w:rPr>
          <w:rFonts w:ascii="Times New Roman" w:hAnsi="Times New Roman"/>
          <w:sz w:val="22"/>
          <w:szCs w:val="22"/>
        </w:rPr>
        <w:lastRenderedPageBreak/>
        <w:t>versées dans un paradis fiscal, des commissions versées à un bénéficiaire non clairement identifié ou à une société qui a toutes les apparences d’une société écran.</w:t>
      </w:r>
    </w:p>
    <w:p w14:paraId="7359F410" w14:textId="77777777" w:rsidR="00442FF2" w:rsidRPr="00C348C0" w:rsidRDefault="00442FF2" w:rsidP="00442FF2">
      <w:pPr>
        <w:ind w:left="397"/>
        <w:jc w:val="both"/>
        <w:rPr>
          <w:rFonts w:ascii="Times New Roman" w:hAnsi="Times New Roman"/>
          <w:sz w:val="22"/>
          <w:szCs w:val="22"/>
        </w:rPr>
      </w:pPr>
      <w:r>
        <w:rPr>
          <w:rFonts w:ascii="Times New Roman" w:hAnsi="Times New Roman"/>
          <w:sz w:val="22"/>
          <w:szCs w:val="22"/>
        </w:rPr>
        <w:t>Les contractants convaincus d’avoir payé des frais commerciaux extraordinaires sur des projets financés par l’Union européenne s’exposent, en fonction de la gravité des faits constatés, à la résiliation du marché ou à une exclusion définitive du bénéfice des financements de l’UE.</w:t>
      </w:r>
    </w:p>
    <w:p w14:paraId="5CF5042B" w14:textId="77777777" w:rsidR="00442FF2" w:rsidRPr="00C348C0" w:rsidRDefault="0047783A" w:rsidP="0047783A">
      <w:pPr>
        <w:pStyle w:val="Heading2"/>
        <w:keepNext w:val="0"/>
        <w:ind w:left="567" w:hanging="567"/>
        <w:jc w:val="both"/>
        <w:rPr>
          <w:rFonts w:ascii="Times New Roman" w:hAnsi="Times New Roman"/>
          <w:sz w:val="22"/>
          <w:u w:val="single"/>
        </w:rPr>
      </w:pPr>
      <w:r>
        <w:rPr>
          <w:rFonts w:ascii="Times New Roman" w:hAnsi="Times New Roman"/>
          <w:sz w:val="22"/>
        </w:rPr>
        <w:t>24.5</w:t>
      </w:r>
      <w:r>
        <w:rPr>
          <w:rFonts w:ascii="Times New Roman" w:hAnsi="Times New Roman"/>
          <w:sz w:val="22"/>
        </w:rPr>
        <w:tab/>
      </w:r>
      <w:r>
        <w:rPr>
          <w:rFonts w:ascii="Times New Roman" w:hAnsi="Times New Roman"/>
          <w:sz w:val="22"/>
          <w:u w:val="single"/>
        </w:rPr>
        <w:t>Violation des obligations, irrégularités ou fraude</w:t>
      </w:r>
    </w:p>
    <w:p w14:paraId="3EADD74A" w14:textId="77777777" w:rsidR="00442FF2" w:rsidRPr="00C348C0" w:rsidRDefault="00442FF2" w:rsidP="00442FF2">
      <w:pPr>
        <w:ind w:left="397"/>
        <w:jc w:val="both"/>
        <w:rPr>
          <w:rFonts w:ascii="Times New Roman" w:hAnsi="Times New Roman"/>
          <w:sz w:val="22"/>
          <w:szCs w:val="22"/>
        </w:rPr>
      </w:pPr>
      <w:r>
        <w:rPr>
          <w:rFonts w:ascii="Times New Roman" w:hAnsi="Times New Roman"/>
          <w:sz w:val="22"/>
          <w:szCs w:val="22"/>
        </w:rPr>
        <w:t>Le pouvoir adjudicateur se réserve le droit de suspendre ou d’annuler la procédure lorsqu’il s’avère que la procédure d’attribution du marché est entachée d’une violation des obligations, d’irrégularités ou de fraude. Lorsqu’une violation des obligations, des irrégularités ou une fraude sont découvertes après l’attribution du marché, le pouvoir adjudicateur peut s’abstenir de conclure le marché.</w:t>
      </w:r>
    </w:p>
    <w:p w14:paraId="2E28FA6A" w14:textId="77777777" w:rsidR="00442FF2" w:rsidRPr="00C348C0" w:rsidRDefault="00442FF2" w:rsidP="00442FF2">
      <w:pPr>
        <w:ind w:left="567"/>
        <w:jc w:val="both"/>
        <w:rPr>
          <w:rFonts w:ascii="Times New Roman" w:hAnsi="Times New Roman"/>
          <w:sz w:val="22"/>
          <w:szCs w:val="22"/>
        </w:rPr>
      </w:pPr>
    </w:p>
    <w:p w14:paraId="751B87C0" w14:textId="77777777" w:rsidR="0047783A" w:rsidRPr="001A2BC4" w:rsidRDefault="00EA1ADC" w:rsidP="009956B4">
      <w:pPr>
        <w:pStyle w:val="Heading1"/>
      </w:pPr>
      <w:bookmarkStart w:id="35" w:name="_Toc42488093"/>
      <w:r>
        <w:t>25.</w:t>
      </w:r>
      <w:r>
        <w:tab/>
        <w:t>Annulation de l’appel d’offres</w:t>
      </w:r>
      <w:bookmarkEnd w:id="35"/>
    </w:p>
    <w:p w14:paraId="266FA0E6" w14:textId="77777777" w:rsidR="00032EDE" w:rsidRDefault="0047783A" w:rsidP="0047783A">
      <w:pPr>
        <w:pStyle w:val="BodyText"/>
        <w:ind w:left="567"/>
        <w:jc w:val="both"/>
        <w:rPr>
          <w:rFonts w:ascii="Times New Roman" w:hAnsi="Times New Roman"/>
          <w:sz w:val="22"/>
        </w:rPr>
      </w:pPr>
      <w:r>
        <w:rPr>
          <w:rFonts w:ascii="Times New Roman" w:hAnsi="Times New Roman"/>
          <w:sz w:val="22"/>
        </w:rPr>
        <w:t xml:space="preserve">En cas d’annulation d’un appel d’offres, les soumissionnaires sont informés de cette annulation par le pouvoir adjudicateur. </w:t>
      </w:r>
    </w:p>
    <w:p w14:paraId="3C33C963" w14:textId="50E61991" w:rsidR="0047783A" w:rsidRPr="00E82463" w:rsidRDefault="0047783A" w:rsidP="0047783A">
      <w:pPr>
        <w:pStyle w:val="BodyText"/>
        <w:ind w:left="567"/>
        <w:jc w:val="both"/>
        <w:rPr>
          <w:rFonts w:ascii="Times New Roman" w:hAnsi="Times New Roman"/>
        </w:rPr>
      </w:pPr>
      <w:r>
        <w:rPr>
          <w:rFonts w:ascii="Times New Roman" w:hAnsi="Times New Roman"/>
          <w:sz w:val="22"/>
        </w:rPr>
        <w:t>Si l’appel d’offres est annulé avant la séance d’ouverture des offres, les enveloppes scellées sont renvoyées aux soumissionnaires sans avoir été ouvertes.</w:t>
      </w:r>
    </w:p>
    <w:p w14:paraId="29C19F87" w14:textId="77777777" w:rsidR="0047783A" w:rsidRPr="00E82463" w:rsidRDefault="0047783A" w:rsidP="00E82463">
      <w:pPr>
        <w:pStyle w:val="BodyText"/>
        <w:spacing w:after="0"/>
        <w:ind w:left="567"/>
        <w:jc w:val="both"/>
        <w:rPr>
          <w:rFonts w:ascii="Times New Roman" w:hAnsi="Times New Roman"/>
          <w:sz w:val="22"/>
        </w:rPr>
      </w:pPr>
      <w:r>
        <w:rPr>
          <w:rFonts w:ascii="Times New Roman" w:hAnsi="Times New Roman"/>
          <w:sz w:val="22"/>
        </w:rPr>
        <w:t xml:space="preserve">Un appel d’offres peut être annulé, par exemple, </w:t>
      </w:r>
      <w:proofErr w:type="gramStart"/>
      <w:r>
        <w:rPr>
          <w:rFonts w:ascii="Times New Roman" w:hAnsi="Times New Roman"/>
          <w:sz w:val="22"/>
        </w:rPr>
        <w:t>si:</w:t>
      </w:r>
      <w:proofErr w:type="gramEnd"/>
    </w:p>
    <w:p w14:paraId="0411B93E" w14:textId="77777777" w:rsidR="0047783A" w:rsidRPr="00E82463" w:rsidRDefault="0047783A" w:rsidP="00E82463">
      <w:pPr>
        <w:pStyle w:val="BodyTextIndent"/>
        <w:numPr>
          <w:ilvl w:val="0"/>
          <w:numId w:val="21"/>
        </w:numPr>
        <w:tabs>
          <w:tab w:val="left" w:pos="1134"/>
        </w:tabs>
        <w:spacing w:before="120"/>
        <w:ind w:left="1134"/>
        <w:rPr>
          <w:sz w:val="22"/>
        </w:rPr>
      </w:pPr>
      <w:proofErr w:type="gramStart"/>
      <w:r>
        <w:rPr>
          <w:sz w:val="22"/>
        </w:rPr>
        <w:t>l’appel</w:t>
      </w:r>
      <w:proofErr w:type="gramEnd"/>
      <w:r>
        <w:rPr>
          <w:sz w:val="22"/>
        </w:rPr>
        <w:t xml:space="preserve"> d’offres est demeuré infructueux, c’est-à-dire lorsqu’aucune offre méritant d’être retenue sur le plan qualitatif ou financier ou aucune réponse valable n’ont été </w:t>
      </w:r>
      <w:proofErr w:type="gramStart"/>
      <w:r>
        <w:rPr>
          <w:sz w:val="22"/>
        </w:rPr>
        <w:t>reçues;</w:t>
      </w:r>
      <w:proofErr w:type="gramEnd"/>
    </w:p>
    <w:p w14:paraId="36FC1FAB" w14:textId="77777777" w:rsidR="0047783A" w:rsidRPr="00E82463" w:rsidRDefault="0047783A" w:rsidP="00AC07D4">
      <w:pPr>
        <w:pStyle w:val="BodyTextIndent"/>
        <w:numPr>
          <w:ilvl w:val="0"/>
          <w:numId w:val="21"/>
        </w:numPr>
        <w:tabs>
          <w:tab w:val="left" w:pos="1134"/>
        </w:tabs>
        <w:spacing w:before="120"/>
        <w:ind w:left="1134"/>
        <w:rPr>
          <w:sz w:val="22"/>
        </w:rPr>
      </w:pPr>
      <w:proofErr w:type="gramStart"/>
      <w:r>
        <w:rPr>
          <w:sz w:val="22"/>
        </w:rPr>
        <w:t>les</w:t>
      </w:r>
      <w:proofErr w:type="gramEnd"/>
      <w:r>
        <w:rPr>
          <w:sz w:val="22"/>
        </w:rPr>
        <w:t xml:space="preserve"> éléments techniques ou économiques du projet ont été fondamentalement </w:t>
      </w:r>
      <w:proofErr w:type="gramStart"/>
      <w:r>
        <w:rPr>
          <w:sz w:val="22"/>
        </w:rPr>
        <w:t>modifiés;</w:t>
      </w:r>
      <w:proofErr w:type="gramEnd"/>
    </w:p>
    <w:p w14:paraId="0157BA0B" w14:textId="77777777" w:rsidR="0047783A" w:rsidRPr="00E82463" w:rsidRDefault="0047783A" w:rsidP="00AC07D4">
      <w:pPr>
        <w:pStyle w:val="BodyTextIndent"/>
        <w:numPr>
          <w:ilvl w:val="0"/>
          <w:numId w:val="21"/>
        </w:numPr>
        <w:tabs>
          <w:tab w:val="left" w:pos="1134"/>
        </w:tabs>
        <w:spacing w:before="120"/>
        <w:ind w:left="1134"/>
        <w:rPr>
          <w:sz w:val="22"/>
        </w:rPr>
      </w:pPr>
      <w:proofErr w:type="gramStart"/>
      <w:r>
        <w:rPr>
          <w:sz w:val="22"/>
        </w:rPr>
        <w:t>des</w:t>
      </w:r>
      <w:proofErr w:type="gramEnd"/>
      <w:r>
        <w:rPr>
          <w:sz w:val="22"/>
        </w:rPr>
        <w:t xml:space="preserve"> circonstances exceptionnelles ou un cas de force majeure rendent impossible l’exécution normale du </w:t>
      </w:r>
      <w:proofErr w:type="gramStart"/>
      <w:r>
        <w:rPr>
          <w:sz w:val="22"/>
        </w:rPr>
        <w:t>projet;</w:t>
      </w:r>
      <w:proofErr w:type="gramEnd"/>
    </w:p>
    <w:p w14:paraId="1D88E016" w14:textId="77777777" w:rsidR="0047783A" w:rsidRPr="00E82463" w:rsidRDefault="0047783A" w:rsidP="00AC07D4">
      <w:pPr>
        <w:pStyle w:val="BodyTextIndent"/>
        <w:numPr>
          <w:ilvl w:val="0"/>
          <w:numId w:val="21"/>
        </w:numPr>
        <w:tabs>
          <w:tab w:val="left" w:pos="1134"/>
        </w:tabs>
        <w:spacing w:before="120"/>
        <w:ind w:left="1134"/>
        <w:rPr>
          <w:sz w:val="22"/>
        </w:rPr>
      </w:pPr>
      <w:proofErr w:type="gramStart"/>
      <w:r>
        <w:rPr>
          <w:sz w:val="22"/>
        </w:rPr>
        <w:t>toutes</w:t>
      </w:r>
      <w:proofErr w:type="gramEnd"/>
      <w:r>
        <w:rPr>
          <w:sz w:val="22"/>
        </w:rPr>
        <w:t xml:space="preserve"> les offres </w:t>
      </w:r>
      <w:r>
        <w:rPr>
          <w:sz w:val="22"/>
          <w:szCs w:val="22"/>
        </w:rPr>
        <w:t>acceptables</w:t>
      </w:r>
      <w:r>
        <w:rPr>
          <w:sz w:val="22"/>
        </w:rPr>
        <w:t xml:space="preserve"> sur le plan technique excèdent les ressources financières </w:t>
      </w:r>
      <w:proofErr w:type="gramStart"/>
      <w:r>
        <w:rPr>
          <w:sz w:val="22"/>
        </w:rPr>
        <w:t>disponibles;</w:t>
      </w:r>
      <w:proofErr w:type="gramEnd"/>
    </w:p>
    <w:p w14:paraId="2709664A" w14:textId="77777777" w:rsidR="0047783A" w:rsidRPr="00E82463" w:rsidRDefault="0047783A" w:rsidP="00AC07D4">
      <w:pPr>
        <w:pStyle w:val="BodyTextIndent"/>
        <w:numPr>
          <w:ilvl w:val="0"/>
          <w:numId w:val="21"/>
        </w:numPr>
        <w:tabs>
          <w:tab w:val="left" w:pos="1134"/>
        </w:tabs>
        <w:spacing w:before="120" w:after="120"/>
        <w:ind w:left="1134"/>
        <w:rPr>
          <w:sz w:val="22"/>
        </w:rPr>
      </w:pPr>
      <w:proofErr w:type="gramStart"/>
      <w:r>
        <w:rPr>
          <w:sz w:val="22"/>
        </w:rPr>
        <w:t>une</w:t>
      </w:r>
      <w:proofErr w:type="gramEnd"/>
      <w:r>
        <w:rPr>
          <w:sz w:val="22"/>
        </w:rPr>
        <w:t xml:space="preserve"> </w:t>
      </w:r>
      <w:r>
        <w:rPr>
          <w:sz w:val="22"/>
          <w:szCs w:val="22"/>
        </w:rPr>
        <w:t>violation des obligations</w:t>
      </w:r>
      <w:r>
        <w:rPr>
          <w:sz w:val="22"/>
        </w:rPr>
        <w:t xml:space="preserve">, des irrégularités ou une </w:t>
      </w:r>
      <w:r>
        <w:rPr>
          <w:sz w:val="22"/>
          <w:szCs w:val="22"/>
        </w:rPr>
        <w:t>fraude</w:t>
      </w:r>
      <w:r>
        <w:rPr>
          <w:sz w:val="22"/>
        </w:rPr>
        <w:t xml:space="preserve"> ont été constatées au cours de la procédure, notamment si elles ont constitué une entrave à une concurrence </w:t>
      </w:r>
      <w:proofErr w:type="gramStart"/>
      <w:r>
        <w:rPr>
          <w:sz w:val="22"/>
        </w:rPr>
        <w:t>loyale;</w:t>
      </w:r>
      <w:proofErr w:type="gramEnd"/>
    </w:p>
    <w:p w14:paraId="2EA5F000" w14:textId="77777777" w:rsidR="0047783A" w:rsidRPr="00E82463" w:rsidRDefault="0047783A" w:rsidP="00AC07D4">
      <w:pPr>
        <w:pStyle w:val="BodyTextIndent"/>
        <w:numPr>
          <w:ilvl w:val="0"/>
          <w:numId w:val="21"/>
        </w:numPr>
        <w:tabs>
          <w:tab w:val="left" w:pos="1134"/>
        </w:tabs>
        <w:spacing w:before="120" w:after="120"/>
        <w:ind w:left="1134"/>
        <w:rPr>
          <w:sz w:val="22"/>
          <w:szCs w:val="22"/>
        </w:rPr>
      </w:pPr>
      <w:proofErr w:type="gramStart"/>
      <w:r>
        <w:rPr>
          <w:snapToGrid/>
          <w:sz w:val="22"/>
          <w:szCs w:val="22"/>
        </w:rPr>
        <w:t>l’attribution</w:t>
      </w:r>
      <w:proofErr w:type="gramEnd"/>
      <w:r>
        <w:rPr>
          <w:snapToGrid/>
          <w:sz w:val="22"/>
          <w:szCs w:val="22"/>
        </w:rPr>
        <w:t xml:space="preserve"> du marché ne respecte pas les principes de bonne gestion financière</w:t>
      </w:r>
      <w:r>
        <w:rPr>
          <w:sz w:val="22"/>
          <w:szCs w:val="22"/>
        </w:rPr>
        <w:t>, c’est-à-dire les principes d’économie, d’efficience et d’efficacité (par exemple, lorsque le prix proposé par le soumissionnaire auquel le marché doit être attribué est objectivement disproportionné par rapport au prix du marché)</w:t>
      </w:r>
      <w:r>
        <w:rPr>
          <w:snapToGrid/>
          <w:sz w:val="22"/>
          <w:szCs w:val="22"/>
        </w:rPr>
        <w:t>.</w:t>
      </w:r>
    </w:p>
    <w:p w14:paraId="2EF4FA4B" w14:textId="77777777" w:rsidR="0047783A" w:rsidRPr="009956B4" w:rsidRDefault="0047783A" w:rsidP="0047783A">
      <w:pPr>
        <w:pStyle w:val="BodyText2"/>
        <w:tabs>
          <w:tab w:val="left" w:pos="567"/>
        </w:tabs>
        <w:spacing w:before="120" w:after="120"/>
        <w:ind w:left="567"/>
        <w:rPr>
          <w:sz w:val="22"/>
          <w:szCs w:val="22"/>
        </w:rPr>
      </w:pPr>
      <w:r>
        <w:rPr>
          <w:sz w:val="22"/>
          <w:szCs w:val="22"/>
        </w:rPr>
        <w:t>Le pouvoir adjudicateur ne sera en aucun cas tenu de verser des dommages-intérêts de quelque nature que ce soit, y compris, sans que cela soit limitatif, une indemnisation pour manque à gagner, liés d’une quelconque manière à l’annulation d’un appel d’offres, même s’il a été informé de la possibilité d’un préjudice. La publication d’un avis de marché n’engage pas le pouvoir adjudicateur à exécuter le programme ou le projet annoncé.</w:t>
      </w:r>
    </w:p>
    <w:p w14:paraId="0732D99E" w14:textId="77777777" w:rsidR="0047783A" w:rsidRPr="001A2BC4" w:rsidRDefault="00EA1ADC" w:rsidP="009956B4">
      <w:pPr>
        <w:pStyle w:val="Heading1"/>
      </w:pPr>
      <w:r>
        <w:t xml:space="preserve">26. </w:t>
      </w:r>
      <w:r>
        <w:tab/>
        <w:t>Recours</w:t>
      </w:r>
    </w:p>
    <w:p w14:paraId="44D32D5F" w14:textId="77777777" w:rsidR="0047783A" w:rsidRPr="00E82463" w:rsidRDefault="0047783A" w:rsidP="00E82463">
      <w:pPr>
        <w:pStyle w:val="BodyText2"/>
        <w:tabs>
          <w:tab w:val="clear" w:pos="567"/>
        </w:tabs>
        <w:spacing w:after="120"/>
        <w:ind w:left="567"/>
        <w:rPr>
          <w:sz w:val="22"/>
          <w:szCs w:val="22"/>
        </w:rPr>
      </w:pPr>
      <w:r>
        <w:rPr>
          <w:sz w:val="22"/>
          <w:szCs w:val="22"/>
        </w:rPr>
        <w:t xml:space="preserve">Les soumissionnaires qui s’estiment lésés par une erreur ou irrégularité commise dans le cadre de la procédure d’attribution peuvent introduire une plainte. Voir la section 2.12. </w:t>
      </w:r>
      <w:proofErr w:type="gramStart"/>
      <w:r>
        <w:rPr>
          <w:sz w:val="22"/>
          <w:szCs w:val="22"/>
        </w:rPr>
        <w:t>du</w:t>
      </w:r>
      <w:proofErr w:type="gramEnd"/>
      <w:r>
        <w:rPr>
          <w:sz w:val="22"/>
          <w:szCs w:val="22"/>
        </w:rPr>
        <w:t xml:space="preserve"> PRAG.</w:t>
      </w:r>
    </w:p>
    <w:p w14:paraId="748062B9" w14:textId="77777777" w:rsidR="00A50D37" w:rsidRPr="009956B4" w:rsidRDefault="00FC6A15" w:rsidP="000E0AE8">
      <w:pPr>
        <w:keepNext/>
        <w:jc w:val="both"/>
        <w:rPr>
          <w:rFonts w:ascii="Times New Roman" w:hAnsi="Times New Roman"/>
          <w:b/>
          <w:sz w:val="28"/>
        </w:rPr>
      </w:pPr>
      <w:r>
        <w:rPr>
          <w:rFonts w:ascii="Times New Roman" w:hAnsi="Times New Roman"/>
          <w:b/>
          <w:sz w:val="28"/>
        </w:rPr>
        <w:lastRenderedPageBreak/>
        <w:t xml:space="preserve"> 27. Protection des données</w:t>
      </w:r>
    </w:p>
    <w:p w14:paraId="51D79475" w14:textId="42F1C111" w:rsidR="00A50D37" w:rsidRPr="00992112" w:rsidRDefault="00FC6A15" w:rsidP="00183955">
      <w:pPr>
        <w:tabs>
          <w:tab w:val="left" w:pos="567"/>
        </w:tabs>
        <w:ind w:left="567"/>
        <w:jc w:val="both"/>
        <w:rPr>
          <w:rFonts w:ascii="Times New Roman" w:hAnsi="Times New Roman"/>
          <w:sz w:val="22"/>
          <w:szCs w:val="22"/>
        </w:rPr>
      </w:pPr>
      <w:r w:rsidRPr="00992112">
        <w:rPr>
          <w:rFonts w:ascii="Times New Roman" w:hAnsi="Times New Roman"/>
          <w:sz w:val="22"/>
          <w:szCs w:val="22"/>
        </w:rPr>
        <w:t>[Le traitement des données à caractère personnel liées à cet appel d’offres par le pouvoir adjudicateur est effectué conformément à la législation nationale de l’État du pouvoir adjudicateur et conformément aux dispositions de la convention de financement correspondante.</w:t>
      </w:r>
    </w:p>
    <w:p w14:paraId="56674091" w14:textId="34148FFD" w:rsidR="00A50D37" w:rsidRPr="00FC6A15" w:rsidRDefault="00A50D37" w:rsidP="00183955">
      <w:pPr>
        <w:tabs>
          <w:tab w:val="left" w:pos="567"/>
        </w:tabs>
        <w:ind w:left="567"/>
        <w:jc w:val="both"/>
        <w:rPr>
          <w:rFonts w:ascii="Times New Roman" w:hAnsi="Times New Roman"/>
          <w:sz w:val="22"/>
          <w:szCs w:val="22"/>
        </w:rPr>
      </w:pPr>
      <w:r w:rsidRPr="00992112">
        <w:rPr>
          <w:rFonts w:ascii="Times New Roman" w:hAnsi="Times New Roman"/>
          <w:sz w:val="22"/>
          <w:szCs w:val="22"/>
        </w:rPr>
        <w:t>L’appel d’offres et le contrat renvoient à une action extérieure financée par l’UE, représentée par la Commission européenne. Si le traitement de votre réponse à l’invitation à soumissionner nécessite le transfert de données à caractère personnel (tel que des noms, des coordonnées et des CV) à la Commission européenne, ces données ne seront traitées qu</w:t>
      </w:r>
      <w:r w:rsidR="00E160B3" w:rsidRPr="00992112">
        <w:rPr>
          <w:rFonts w:ascii="Times New Roman" w:hAnsi="Times New Roman"/>
          <w:sz w:val="22"/>
          <w:szCs w:val="22"/>
        </w:rPr>
        <w:t>’</w:t>
      </w:r>
      <w:r w:rsidRPr="00992112">
        <w:rPr>
          <w:rFonts w:ascii="Times New Roman" w:hAnsi="Times New Roman"/>
          <w:sz w:val="22"/>
          <w:szCs w:val="22"/>
        </w:rPr>
        <w:t>aux fins de la surveillance de la procédure de passation de marché et de l’exécution du marché par la Commission, pour que cette dernière respecte ses obligations conformément au cadre législatif applicable et conformément à la convention de financement signée entre l’UE et le pays partenaire, sans préjudice d’une transmission possible aux entités chargées des tâches de surveillance ou d’inspection en application de la législation de l’UE. Pour les données transférées par le pouvoir adjudicateur à la Commission européenne, le responsable du traitement des données à caractère personnel mené au sein de la Commission est</w:t>
      </w:r>
    </w:p>
    <w:p w14:paraId="71DE77D6" w14:textId="77777777" w:rsidR="00A50D37" w:rsidRPr="00FC6A15" w:rsidRDefault="00A50D37" w:rsidP="00183955">
      <w:pPr>
        <w:tabs>
          <w:tab w:val="left" w:pos="567"/>
        </w:tabs>
        <w:ind w:left="567"/>
        <w:jc w:val="both"/>
        <w:rPr>
          <w:rFonts w:ascii="Times New Roman" w:hAnsi="Times New Roman"/>
          <w:sz w:val="22"/>
          <w:szCs w:val="22"/>
          <w:highlight w:val="lightGray"/>
        </w:rPr>
      </w:pPr>
      <w:r>
        <w:rPr>
          <w:rFonts w:ascii="Times New Roman" w:hAnsi="Times New Roman"/>
          <w:sz w:val="22"/>
          <w:szCs w:val="22"/>
        </w:rPr>
        <w:t xml:space="preserve">Des précisions quant au traitement de vos données à caractère personnel par la Commission sont disponibles dans la déclaration de confidentialité à l’adresse </w:t>
      </w:r>
      <w:proofErr w:type="gramStart"/>
      <w:r>
        <w:rPr>
          <w:rFonts w:ascii="Times New Roman" w:hAnsi="Times New Roman"/>
          <w:sz w:val="22"/>
          <w:szCs w:val="22"/>
        </w:rPr>
        <w:t>suivante:</w:t>
      </w:r>
      <w:proofErr w:type="gramEnd"/>
    </w:p>
    <w:p w14:paraId="3DF40119" w14:textId="77777777" w:rsidR="00761410" w:rsidRPr="002058FE" w:rsidRDefault="00761410" w:rsidP="002058FE">
      <w:pPr>
        <w:jc w:val="center"/>
        <w:rPr>
          <w:rFonts w:ascii="Times New Roman" w:hAnsi="Times New Roman"/>
          <w:sz w:val="22"/>
          <w:szCs w:val="22"/>
        </w:rPr>
      </w:pPr>
      <w:hyperlink r:id="rId9" w:anchor="Annexes-AnnexesA(Ch.2):G%C3%A9n%C3%A9ral" w:history="1">
        <w:r w:rsidRPr="002058FE">
          <w:rPr>
            <w:rStyle w:val="Hyperlink"/>
            <w:rFonts w:ascii="Times New Roman" w:hAnsi="Times New Roman"/>
            <w:sz w:val="22"/>
            <w:szCs w:val="22"/>
          </w:rPr>
          <w:t>https://wikis.ec.europa.eu/display/ExactExternalWikiFR/Annexes#Annexes-AnnexesA(Ch.2):G%C3%A9n%C3%A9ral</w:t>
        </w:r>
      </w:hyperlink>
    </w:p>
    <w:p w14:paraId="19B0D0D5" w14:textId="3B563174" w:rsidR="00A50D37" w:rsidRPr="00FC6A15" w:rsidRDefault="00A50D37" w:rsidP="00183955">
      <w:pPr>
        <w:tabs>
          <w:tab w:val="left" w:pos="567"/>
        </w:tabs>
        <w:ind w:left="567"/>
        <w:jc w:val="both"/>
        <w:rPr>
          <w:rFonts w:ascii="Times New Roman" w:hAnsi="Times New Roman"/>
          <w:sz w:val="22"/>
          <w:szCs w:val="22"/>
        </w:rPr>
      </w:pPr>
      <w:r w:rsidRPr="00992112">
        <w:rPr>
          <w:rFonts w:ascii="Times New Roman" w:hAnsi="Times New Roman"/>
          <w:sz w:val="22"/>
          <w:szCs w:val="22"/>
        </w:rPr>
        <w:t>Lorsque des données à caractère personnel sont traitées dans le cadre d’une participation à un appel d’offres (par exemple, des CV d</w:t>
      </w:r>
      <w:r w:rsidR="00E160B3" w:rsidRPr="00992112">
        <w:rPr>
          <w:rFonts w:ascii="Times New Roman" w:hAnsi="Times New Roman"/>
          <w:sz w:val="22"/>
          <w:szCs w:val="22"/>
        </w:rPr>
        <w:t>’</w:t>
      </w:r>
      <w:r w:rsidRPr="00992112">
        <w:rPr>
          <w:rFonts w:ascii="Times New Roman" w:hAnsi="Times New Roman"/>
          <w:sz w:val="22"/>
          <w:szCs w:val="22"/>
        </w:rPr>
        <w:t>experts principaux ou d</w:t>
      </w:r>
      <w:r w:rsidR="00E160B3" w:rsidRPr="00992112">
        <w:rPr>
          <w:rFonts w:ascii="Times New Roman" w:hAnsi="Times New Roman"/>
          <w:sz w:val="22"/>
          <w:szCs w:val="22"/>
        </w:rPr>
        <w:t>’</w:t>
      </w:r>
      <w:r w:rsidRPr="00992112">
        <w:rPr>
          <w:rFonts w:ascii="Times New Roman" w:hAnsi="Times New Roman"/>
          <w:sz w:val="22"/>
          <w:szCs w:val="22"/>
        </w:rPr>
        <w:t>experts techniques) et/ou de l’exécution d’un marché (par exemple, le remplacement d’experts), il convient de dûment informer les personnes concernées d’une transmission possible de leurs données aux institutions et organismes de l’UE et de leur communiquer la déclaration de confidentialité mentionnée ci-dessus.]</w:t>
      </w:r>
    </w:p>
    <w:p w14:paraId="2F4845EF" w14:textId="77777777" w:rsidR="0047783A" w:rsidRPr="001A2BC4" w:rsidRDefault="00EA1ADC" w:rsidP="009956B4">
      <w:pPr>
        <w:pStyle w:val="Heading1"/>
        <w:rPr>
          <w:bCs/>
          <w:sz w:val="22"/>
          <w:szCs w:val="22"/>
        </w:rPr>
      </w:pPr>
      <w:r>
        <w:t>28.</w:t>
      </w:r>
      <w:r>
        <w:tab/>
        <w:t>Système de détection rapide et d’exclusion</w:t>
      </w:r>
    </w:p>
    <w:p w14:paraId="02AFB167" w14:textId="1148BBAF" w:rsidR="00130EF1" w:rsidRDefault="0047783A" w:rsidP="00CC1A28">
      <w:pPr>
        <w:pStyle w:val="BodyText"/>
        <w:ind w:left="567"/>
        <w:jc w:val="both"/>
        <w:rPr>
          <w:rFonts w:ascii="Times New Roman" w:hAnsi="Times New Roman"/>
          <w:sz w:val="22"/>
          <w:szCs w:val="22"/>
        </w:rPr>
      </w:pPr>
      <w:r>
        <w:rPr>
          <w:rFonts w:ascii="Times New Roman" w:hAnsi="Times New Roman"/>
          <w:sz w:val="22"/>
          <w:szCs w:val="22"/>
        </w:rPr>
        <w:t>Les soumissionnaires et, s’il s’agit d’entités légales, les personnes ayant sur elles un pouvoir de représentation, de décision ou de contrôle, sont informés du fait que, s’ils se trouvent dans une des situations de détection rapide ou d’exclusion, leurs coordonnées (nom/dénomination, prénom si personne physique, adresse, forme juridique et nom et prénom des personnes ayant un pouvoir de représentation, de décision ou de contrôle, si personne morale) peuvent être enregistrées dans le système de détection rapide et d’exclusion et communiquées aux personnes et entités énumérées dans la décision précitée, dans le cadre de l’attribution ou de l’exécution d’un marché public.</w:t>
      </w:r>
    </w:p>
    <w:p w14:paraId="30429FB7" w14:textId="0E1F7502" w:rsidR="00257CB1" w:rsidRDefault="00257CB1" w:rsidP="00D621D6">
      <w:pPr>
        <w:pStyle w:val="BodyText"/>
        <w:jc w:val="both"/>
        <w:rPr>
          <w:rFonts w:ascii="Times New Roman" w:hAnsi="Times New Roman"/>
          <w:sz w:val="22"/>
          <w:szCs w:val="22"/>
        </w:rPr>
      </w:pPr>
    </w:p>
    <w:p w14:paraId="4DED6F68" w14:textId="77777777" w:rsidR="00A820FC" w:rsidRDefault="00A820FC" w:rsidP="00A820FC">
      <w:pPr>
        <w:pStyle w:val="BodyText"/>
        <w:jc w:val="both"/>
        <w:rPr>
          <w:rFonts w:ascii="Times New Roman" w:hAnsi="Times New Roman"/>
          <w:sz w:val="22"/>
          <w:szCs w:val="22"/>
        </w:rPr>
        <w:sectPr w:rsidR="00A820FC" w:rsidSect="00370F61">
          <w:footerReference w:type="even" r:id="rId10"/>
          <w:footerReference w:type="default" r:id="rId11"/>
          <w:footerReference w:type="first" r:id="rId12"/>
          <w:pgSz w:w="12240" w:h="15840" w:code="1"/>
          <w:pgMar w:top="709" w:right="1418" w:bottom="1134" w:left="1134" w:header="720" w:footer="469" w:gutter="567"/>
          <w:cols w:space="720"/>
          <w:docGrid w:linePitch="272"/>
        </w:sectPr>
      </w:pPr>
    </w:p>
    <w:p w14:paraId="4A5EA8D1" w14:textId="77777777" w:rsidR="00A820FC" w:rsidRPr="00D621D6" w:rsidRDefault="00A820FC" w:rsidP="00D621D6">
      <w:pPr>
        <w:pStyle w:val="BodyText"/>
        <w:jc w:val="both"/>
        <w:rPr>
          <w:rFonts w:ascii="Times New Roman" w:hAnsi="Times New Roman"/>
          <w:sz w:val="22"/>
          <w:szCs w:val="22"/>
        </w:rPr>
      </w:pPr>
    </w:p>
    <w:sectPr w:rsidR="00A820FC" w:rsidRPr="00D621D6" w:rsidSect="001A2BC4">
      <w:pgSz w:w="16838" w:h="11906" w:orient="landscape"/>
      <w:pgMar w:top="1134" w:right="709" w:bottom="1418"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0D1D" w14:textId="77777777" w:rsidR="00E3305F" w:rsidRPr="006A5F84" w:rsidRDefault="00E3305F">
      <w:r w:rsidRPr="006A5F84">
        <w:separator/>
      </w:r>
    </w:p>
  </w:endnote>
  <w:endnote w:type="continuationSeparator" w:id="0">
    <w:p w14:paraId="4F87C755" w14:textId="77777777" w:rsidR="00E3305F" w:rsidRPr="006A5F84" w:rsidRDefault="00E3305F">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7A8F" w14:textId="77777777" w:rsidR="0035080B" w:rsidRDefault="0035080B"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5D4E8170" w14:textId="77777777" w:rsidR="0035080B" w:rsidRDefault="0035080B"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E837" w14:textId="68FB6A51" w:rsidR="0035080B" w:rsidRPr="009423FB" w:rsidRDefault="0035080B" w:rsidP="009423FB">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2021.1</w:t>
    </w:r>
    <w:r>
      <w:rPr>
        <w:rFonts w:ascii="Times New Roman" w:hAnsi="Times New Roman"/>
        <w:sz w:val="18"/>
        <w:szCs w:val="18"/>
      </w:rPr>
      <w:tab/>
    </w:r>
    <w:r>
      <w:rPr>
        <w:rStyle w:val="PageNumber"/>
        <w:rFonts w:ascii="Times New Roman" w:hAnsi="Times New Roman"/>
        <w:sz w:val="18"/>
        <w:szCs w:val="18"/>
      </w:rPr>
      <w:t>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C5258B">
      <w:rPr>
        <w:rStyle w:val="PageNumber"/>
        <w:rFonts w:ascii="Times New Roman" w:hAnsi="Times New Roman"/>
        <w:noProof/>
        <w:sz w:val="18"/>
        <w:szCs w:val="18"/>
      </w:rPr>
      <w:t>1</w:t>
    </w:r>
    <w:r w:rsidRPr="009423FB">
      <w:rPr>
        <w:rStyle w:val="PageNumber"/>
        <w:rFonts w:ascii="Times New Roman" w:hAnsi="Times New Roman"/>
        <w:sz w:val="18"/>
        <w:szCs w:val="18"/>
      </w:rPr>
      <w:fldChar w:fldCharType="end"/>
    </w:r>
    <w:r>
      <w:rPr>
        <w:rStyle w:val="PageNumber"/>
        <w:rFonts w:ascii="Times New Roman" w:hAnsi="Times New Roman"/>
        <w:sz w:val="18"/>
        <w:szCs w:val="18"/>
      </w:rPr>
      <w:t xml:space="preserve"> sur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C5258B">
      <w:rPr>
        <w:rStyle w:val="PageNumber"/>
        <w:rFonts w:ascii="Times New Roman" w:hAnsi="Times New Roman"/>
        <w:noProof/>
        <w:sz w:val="18"/>
        <w:szCs w:val="18"/>
      </w:rPr>
      <w:t>18</w:t>
    </w:r>
    <w:r w:rsidRPr="009423FB">
      <w:rPr>
        <w:rStyle w:val="PageNumber"/>
        <w:rFonts w:ascii="Times New Roman" w:hAnsi="Times New Roman"/>
        <w:sz w:val="18"/>
        <w:szCs w:val="18"/>
      </w:rPr>
      <w:fldChar w:fldCharType="end"/>
    </w:r>
  </w:p>
  <w:p w14:paraId="5D145687" w14:textId="45471C7B" w:rsidR="0035080B" w:rsidRPr="009423FB" w:rsidRDefault="0035080B"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370F61">
      <w:rPr>
        <w:rFonts w:ascii="Times New Roman" w:hAnsi="Times New Roman"/>
        <w:noProof/>
        <w:sz w:val="18"/>
        <w:szCs w:val="18"/>
      </w:rPr>
      <w:t>A_ Instructions aux soumissionnaires_130426</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8851" w14:textId="77777777" w:rsidR="0035080B" w:rsidRPr="006A5F84" w:rsidRDefault="0035080B"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4B8E51A2" w14:textId="77777777" w:rsidR="0035080B" w:rsidRPr="006A5F84" w:rsidRDefault="0035080B" w:rsidP="0047783A">
    <w:pPr>
      <w:pStyle w:val="Footer"/>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FEA8" w14:textId="77777777" w:rsidR="00E3305F" w:rsidRPr="006A5F84" w:rsidRDefault="00E3305F">
      <w:r w:rsidRPr="006A5F84">
        <w:separator/>
      </w:r>
    </w:p>
  </w:footnote>
  <w:footnote w:type="continuationSeparator" w:id="0">
    <w:p w14:paraId="796311E2" w14:textId="77777777" w:rsidR="00E3305F" w:rsidRPr="006A5F84" w:rsidRDefault="00E3305F">
      <w:r w:rsidRPr="006A5F84">
        <w:continuationSeparator/>
      </w:r>
    </w:p>
  </w:footnote>
  <w:footnote w:id="1">
    <w:p w14:paraId="7C36EC89" w14:textId="77777777" w:rsidR="0035080B" w:rsidRPr="00C348C0" w:rsidRDefault="0035080B" w:rsidP="009956B4">
      <w:pPr>
        <w:pStyle w:val="FootnoteText"/>
        <w:spacing w:after="0"/>
        <w:jc w:val="both"/>
      </w:pPr>
      <w:r>
        <w:rPr>
          <w:rStyle w:val="FootnoteReference"/>
        </w:rPr>
        <w:footnoteRef/>
      </w:r>
      <w:r>
        <w:t xml:space="preserve"> Voir la section 2.6.10.1.3 A du PRAG.</w:t>
      </w:r>
    </w:p>
  </w:footnote>
  <w:footnote w:id="2">
    <w:p w14:paraId="621D2B78" w14:textId="77777777" w:rsidR="0035080B" w:rsidRPr="00C348C0" w:rsidRDefault="0035080B" w:rsidP="009956B4">
      <w:pPr>
        <w:pStyle w:val="FootnoteText"/>
        <w:spacing w:after="0"/>
        <w:jc w:val="both"/>
      </w:pPr>
      <w:r>
        <w:rPr>
          <w:rStyle w:val="FootnoteReference"/>
          <w:lang w:val="en-GB"/>
        </w:rPr>
        <w:footnoteRef/>
      </w:r>
      <w:r>
        <w:t xml:space="preserve"> La monnaie de l’offre est la monnaie du marché et la monnaie de paiement.</w:t>
      </w:r>
    </w:p>
  </w:footnote>
  <w:footnote w:id="3">
    <w:p w14:paraId="1419836C" w14:textId="77777777" w:rsidR="0035080B" w:rsidRPr="00C348C0" w:rsidRDefault="0035080B" w:rsidP="001A2BC4">
      <w:pPr>
        <w:pStyle w:val="FootnoteText"/>
        <w:spacing w:after="0"/>
        <w:jc w:val="both"/>
      </w:pPr>
      <w:r>
        <w:rPr>
          <w:rStyle w:val="FootnoteReference"/>
        </w:rPr>
        <w:footnoteRef/>
      </w:r>
      <w:r>
        <w:t xml:space="preserve"> Il est conseillé de recourir à l’envoi recommandé, au cas où le cachet de la poste ne serait pas lisible.</w:t>
      </w:r>
    </w:p>
  </w:footnote>
  <w:footnote w:id="4">
    <w:p w14:paraId="0B25B166" w14:textId="2C7A9671" w:rsidR="0035080B" w:rsidRPr="00C348C0" w:rsidRDefault="0035080B" w:rsidP="001A2BC4">
      <w:pPr>
        <w:pStyle w:val="FootnoteText"/>
        <w:spacing w:after="0"/>
        <w:jc w:val="both"/>
      </w:pPr>
      <w:r>
        <w:rPr>
          <w:rStyle w:val="FootnoteReference"/>
          <w:lang w:val="en-GB"/>
        </w:rPr>
        <w:footnoteRef/>
      </w:r>
      <w:r>
        <w:t xml:space="preserve"> [&lt;</w:t>
      </w:r>
      <w:r>
        <w:rPr>
          <w:highlight w:val="yellow"/>
        </w:rPr>
        <w:t>DDP (rendu droits acquittés) / DAP (rendu au lieu de destination)</w:t>
      </w:r>
      <w:r>
        <w:t xml:space="preserve">&gt;] — Incoterms 2020, Chambre internationale du commerce </w:t>
      </w:r>
      <w:hyperlink r:id="rId1" w:history="1">
        <w:r w:rsidRPr="0044090C">
          <w:rPr>
            <w:rStyle w:val="Hyperlink"/>
          </w:rPr>
          <w:t>http://www.iccwbo.org/incoterms/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1"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8"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4727959">
    <w:abstractNumId w:val="12"/>
  </w:num>
  <w:num w:numId="2" w16cid:durableId="1439594058">
    <w:abstractNumId w:val="24"/>
  </w:num>
  <w:num w:numId="3" w16cid:durableId="1763918452">
    <w:abstractNumId w:val="11"/>
  </w:num>
  <w:num w:numId="4" w16cid:durableId="1813672797">
    <w:abstractNumId w:val="14"/>
  </w:num>
  <w:num w:numId="5" w16cid:durableId="1554383991">
    <w:abstractNumId w:val="26"/>
  </w:num>
  <w:num w:numId="6" w16cid:durableId="1011493267">
    <w:abstractNumId w:val="10"/>
  </w:num>
  <w:num w:numId="7" w16cid:durableId="1821312427">
    <w:abstractNumId w:val="6"/>
  </w:num>
  <w:num w:numId="8" w16cid:durableId="461195403">
    <w:abstractNumId w:val="2"/>
  </w:num>
  <w:num w:numId="9" w16cid:durableId="683938095">
    <w:abstractNumId w:val="16"/>
  </w:num>
  <w:num w:numId="10" w16cid:durableId="1788237665">
    <w:abstractNumId w:val="5"/>
  </w:num>
  <w:num w:numId="11" w16cid:durableId="4141353">
    <w:abstractNumId w:val="23"/>
  </w:num>
  <w:num w:numId="12" w16cid:durableId="1877620019">
    <w:abstractNumId w:val="13"/>
  </w:num>
  <w:num w:numId="13" w16cid:durableId="575867118">
    <w:abstractNumId w:val="8"/>
  </w:num>
  <w:num w:numId="14" w16cid:durableId="186454040">
    <w:abstractNumId w:val="21"/>
  </w:num>
  <w:num w:numId="15" w16cid:durableId="1762287894">
    <w:abstractNumId w:val="22"/>
  </w:num>
  <w:num w:numId="16" w16cid:durableId="1790709541">
    <w:abstractNumId w:val="9"/>
  </w:num>
  <w:num w:numId="17" w16cid:durableId="1486164034">
    <w:abstractNumId w:val="17"/>
  </w:num>
  <w:num w:numId="18" w16cid:durableId="1212886874">
    <w:abstractNumId w:val="12"/>
  </w:num>
  <w:num w:numId="19" w16cid:durableId="1380863590">
    <w:abstractNumId w:val="12"/>
  </w:num>
  <w:num w:numId="20" w16cid:durableId="684332343">
    <w:abstractNumId w:val="28"/>
  </w:num>
  <w:num w:numId="21" w16cid:durableId="1506238086">
    <w:abstractNumId w:val="19"/>
  </w:num>
  <w:num w:numId="22" w16cid:durableId="1984508275">
    <w:abstractNumId w:val="18"/>
  </w:num>
  <w:num w:numId="23" w16cid:durableId="1545019560">
    <w:abstractNumId w:val="3"/>
  </w:num>
  <w:num w:numId="24" w16cid:durableId="724833511">
    <w:abstractNumId w:val="12"/>
  </w:num>
  <w:num w:numId="25" w16cid:durableId="890768516">
    <w:abstractNumId w:val="12"/>
  </w:num>
  <w:num w:numId="26" w16cid:durableId="1059130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672903822">
    <w:abstractNumId w:val="1"/>
  </w:num>
  <w:num w:numId="28" w16cid:durableId="1391804055">
    <w:abstractNumId w:val="4"/>
  </w:num>
  <w:num w:numId="29" w16cid:durableId="1552881242">
    <w:abstractNumId w:val="27"/>
  </w:num>
  <w:num w:numId="30" w16cid:durableId="1845053646">
    <w:abstractNumId w:val="24"/>
    <w:lvlOverride w:ilvl="0">
      <w:startOverride w:val="20"/>
    </w:lvlOverride>
    <w:lvlOverride w:ilvl="1">
      <w:startOverride w:val="7"/>
    </w:lvlOverride>
  </w:num>
  <w:num w:numId="31" w16cid:durableId="122039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7279734">
    <w:abstractNumId w:val="20"/>
  </w:num>
  <w:num w:numId="33" w16cid:durableId="167013193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FR" w:vendorID="64" w:dllVersion="6" w:nlCheck="1" w:checkStyle="0"/>
  <w:activeWritingStyle w:appName="MSWord" w:lang="fr-FR" w:vendorID="64" w:dllVersion="0"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11D7"/>
    <w:rsid w:val="000012FD"/>
    <w:rsid w:val="00001B85"/>
    <w:rsid w:val="000021E1"/>
    <w:rsid w:val="0000259F"/>
    <w:rsid w:val="00005FE9"/>
    <w:rsid w:val="00007151"/>
    <w:rsid w:val="000076C2"/>
    <w:rsid w:val="00007DCD"/>
    <w:rsid w:val="00010561"/>
    <w:rsid w:val="00010EFB"/>
    <w:rsid w:val="000117D3"/>
    <w:rsid w:val="000167B8"/>
    <w:rsid w:val="0002493B"/>
    <w:rsid w:val="00026133"/>
    <w:rsid w:val="00027333"/>
    <w:rsid w:val="00030464"/>
    <w:rsid w:val="00032EDE"/>
    <w:rsid w:val="000351E3"/>
    <w:rsid w:val="00036E25"/>
    <w:rsid w:val="00040153"/>
    <w:rsid w:val="00040CF1"/>
    <w:rsid w:val="00041516"/>
    <w:rsid w:val="000417E2"/>
    <w:rsid w:val="00041E63"/>
    <w:rsid w:val="00043159"/>
    <w:rsid w:val="00044977"/>
    <w:rsid w:val="0004517D"/>
    <w:rsid w:val="000470C1"/>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4BDF"/>
    <w:rsid w:val="000665DF"/>
    <w:rsid w:val="00066CBA"/>
    <w:rsid w:val="00070CE5"/>
    <w:rsid w:val="000714BB"/>
    <w:rsid w:val="00074CF2"/>
    <w:rsid w:val="0007671B"/>
    <w:rsid w:val="0008592A"/>
    <w:rsid w:val="00085CA1"/>
    <w:rsid w:val="00087F35"/>
    <w:rsid w:val="00090987"/>
    <w:rsid w:val="000924A9"/>
    <w:rsid w:val="0009286D"/>
    <w:rsid w:val="000947DF"/>
    <w:rsid w:val="000958D8"/>
    <w:rsid w:val="00095DB8"/>
    <w:rsid w:val="00097737"/>
    <w:rsid w:val="000A1A71"/>
    <w:rsid w:val="000A3B36"/>
    <w:rsid w:val="000A5F76"/>
    <w:rsid w:val="000A7A2C"/>
    <w:rsid w:val="000B0983"/>
    <w:rsid w:val="000B1236"/>
    <w:rsid w:val="000B1E3E"/>
    <w:rsid w:val="000B5D57"/>
    <w:rsid w:val="000B79F6"/>
    <w:rsid w:val="000C1D59"/>
    <w:rsid w:val="000C32D7"/>
    <w:rsid w:val="000C4AE6"/>
    <w:rsid w:val="000C6C88"/>
    <w:rsid w:val="000C6E69"/>
    <w:rsid w:val="000C719A"/>
    <w:rsid w:val="000D0118"/>
    <w:rsid w:val="000D1B17"/>
    <w:rsid w:val="000D1CDA"/>
    <w:rsid w:val="000D24E3"/>
    <w:rsid w:val="000D2B44"/>
    <w:rsid w:val="000D40DB"/>
    <w:rsid w:val="000D4A00"/>
    <w:rsid w:val="000D4C36"/>
    <w:rsid w:val="000D579A"/>
    <w:rsid w:val="000D5F1B"/>
    <w:rsid w:val="000D66C0"/>
    <w:rsid w:val="000E0AE8"/>
    <w:rsid w:val="000E0DB4"/>
    <w:rsid w:val="000E291F"/>
    <w:rsid w:val="000E7B75"/>
    <w:rsid w:val="000F124B"/>
    <w:rsid w:val="000F1339"/>
    <w:rsid w:val="000F1EA7"/>
    <w:rsid w:val="000F5F5F"/>
    <w:rsid w:val="00100085"/>
    <w:rsid w:val="00103348"/>
    <w:rsid w:val="00103913"/>
    <w:rsid w:val="00104B37"/>
    <w:rsid w:val="0010518E"/>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1B86"/>
    <w:rsid w:val="001320DF"/>
    <w:rsid w:val="00134586"/>
    <w:rsid w:val="00145F95"/>
    <w:rsid w:val="0014659F"/>
    <w:rsid w:val="00150767"/>
    <w:rsid w:val="001515E4"/>
    <w:rsid w:val="0015284C"/>
    <w:rsid w:val="001536B3"/>
    <w:rsid w:val="00153C10"/>
    <w:rsid w:val="00156114"/>
    <w:rsid w:val="00157C6D"/>
    <w:rsid w:val="00157DEE"/>
    <w:rsid w:val="00157DEF"/>
    <w:rsid w:val="00162097"/>
    <w:rsid w:val="001645AC"/>
    <w:rsid w:val="00164F15"/>
    <w:rsid w:val="00170AA7"/>
    <w:rsid w:val="001719EB"/>
    <w:rsid w:val="00171C45"/>
    <w:rsid w:val="00174382"/>
    <w:rsid w:val="001744F6"/>
    <w:rsid w:val="001766D9"/>
    <w:rsid w:val="00177A3D"/>
    <w:rsid w:val="001816D3"/>
    <w:rsid w:val="00181980"/>
    <w:rsid w:val="00182EF4"/>
    <w:rsid w:val="00183955"/>
    <w:rsid w:val="00184D00"/>
    <w:rsid w:val="00185973"/>
    <w:rsid w:val="00185C2F"/>
    <w:rsid w:val="00187253"/>
    <w:rsid w:val="00192430"/>
    <w:rsid w:val="00192976"/>
    <w:rsid w:val="001932AF"/>
    <w:rsid w:val="001937B4"/>
    <w:rsid w:val="00197233"/>
    <w:rsid w:val="001976A6"/>
    <w:rsid w:val="001A1207"/>
    <w:rsid w:val="001A2BC4"/>
    <w:rsid w:val="001A64D9"/>
    <w:rsid w:val="001A6C79"/>
    <w:rsid w:val="001B29E8"/>
    <w:rsid w:val="001B38DA"/>
    <w:rsid w:val="001B5454"/>
    <w:rsid w:val="001B660A"/>
    <w:rsid w:val="001D0532"/>
    <w:rsid w:val="001D20C7"/>
    <w:rsid w:val="001D339B"/>
    <w:rsid w:val="001D4292"/>
    <w:rsid w:val="001D51F8"/>
    <w:rsid w:val="001E377F"/>
    <w:rsid w:val="001E4648"/>
    <w:rsid w:val="001F0DE5"/>
    <w:rsid w:val="001F1580"/>
    <w:rsid w:val="001F1BC9"/>
    <w:rsid w:val="001F410B"/>
    <w:rsid w:val="001F5421"/>
    <w:rsid w:val="001F7658"/>
    <w:rsid w:val="002012E1"/>
    <w:rsid w:val="00201CF7"/>
    <w:rsid w:val="00203E3D"/>
    <w:rsid w:val="0020506A"/>
    <w:rsid w:val="002058FE"/>
    <w:rsid w:val="00205DC5"/>
    <w:rsid w:val="0020615A"/>
    <w:rsid w:val="00211229"/>
    <w:rsid w:val="00211E0F"/>
    <w:rsid w:val="002156A5"/>
    <w:rsid w:val="0021645D"/>
    <w:rsid w:val="00216F0D"/>
    <w:rsid w:val="00217E61"/>
    <w:rsid w:val="002209F1"/>
    <w:rsid w:val="00220BF7"/>
    <w:rsid w:val="00224C44"/>
    <w:rsid w:val="00224D3B"/>
    <w:rsid w:val="00225CDC"/>
    <w:rsid w:val="00225F75"/>
    <w:rsid w:val="00227A8C"/>
    <w:rsid w:val="00227ABB"/>
    <w:rsid w:val="00235BB9"/>
    <w:rsid w:val="00237F9E"/>
    <w:rsid w:val="002409CB"/>
    <w:rsid w:val="002409FE"/>
    <w:rsid w:val="002421ED"/>
    <w:rsid w:val="0024232E"/>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542C"/>
    <w:rsid w:val="00266552"/>
    <w:rsid w:val="00266C6F"/>
    <w:rsid w:val="00271700"/>
    <w:rsid w:val="00272A7B"/>
    <w:rsid w:val="00272D32"/>
    <w:rsid w:val="0028364A"/>
    <w:rsid w:val="00290561"/>
    <w:rsid w:val="00294190"/>
    <w:rsid w:val="002A0041"/>
    <w:rsid w:val="002A1860"/>
    <w:rsid w:val="002A2D36"/>
    <w:rsid w:val="002A6367"/>
    <w:rsid w:val="002B1865"/>
    <w:rsid w:val="002B2370"/>
    <w:rsid w:val="002B424D"/>
    <w:rsid w:val="002B6401"/>
    <w:rsid w:val="002B7402"/>
    <w:rsid w:val="002C1EAD"/>
    <w:rsid w:val="002C649A"/>
    <w:rsid w:val="002C7223"/>
    <w:rsid w:val="002D0CE1"/>
    <w:rsid w:val="002D1FCC"/>
    <w:rsid w:val="002D2FC0"/>
    <w:rsid w:val="002D6EED"/>
    <w:rsid w:val="002E105B"/>
    <w:rsid w:val="002E1FB2"/>
    <w:rsid w:val="002E29C4"/>
    <w:rsid w:val="002E4C1B"/>
    <w:rsid w:val="002E7E5A"/>
    <w:rsid w:val="002F1222"/>
    <w:rsid w:val="002F48D0"/>
    <w:rsid w:val="002F530E"/>
    <w:rsid w:val="002F559C"/>
    <w:rsid w:val="002F6309"/>
    <w:rsid w:val="00301220"/>
    <w:rsid w:val="003051AA"/>
    <w:rsid w:val="003061F8"/>
    <w:rsid w:val="00306DE6"/>
    <w:rsid w:val="00314EE8"/>
    <w:rsid w:val="003205A4"/>
    <w:rsid w:val="00322263"/>
    <w:rsid w:val="00324A27"/>
    <w:rsid w:val="003308C6"/>
    <w:rsid w:val="003320FF"/>
    <w:rsid w:val="0033212F"/>
    <w:rsid w:val="00335E06"/>
    <w:rsid w:val="0033743D"/>
    <w:rsid w:val="003409B8"/>
    <w:rsid w:val="003411A3"/>
    <w:rsid w:val="00343102"/>
    <w:rsid w:val="0034393A"/>
    <w:rsid w:val="00347B7E"/>
    <w:rsid w:val="003502E9"/>
    <w:rsid w:val="0035080B"/>
    <w:rsid w:val="0035089B"/>
    <w:rsid w:val="00351351"/>
    <w:rsid w:val="003551F4"/>
    <w:rsid w:val="003568F8"/>
    <w:rsid w:val="00360344"/>
    <w:rsid w:val="003613D2"/>
    <w:rsid w:val="00364FFD"/>
    <w:rsid w:val="00370F61"/>
    <w:rsid w:val="00371851"/>
    <w:rsid w:val="00371930"/>
    <w:rsid w:val="00371F01"/>
    <w:rsid w:val="00372043"/>
    <w:rsid w:val="003721AD"/>
    <w:rsid w:val="00372540"/>
    <w:rsid w:val="00376656"/>
    <w:rsid w:val="00384ABB"/>
    <w:rsid w:val="00384BAB"/>
    <w:rsid w:val="00384BC9"/>
    <w:rsid w:val="00385FFC"/>
    <w:rsid w:val="00386409"/>
    <w:rsid w:val="00387C56"/>
    <w:rsid w:val="003902B3"/>
    <w:rsid w:val="00391D90"/>
    <w:rsid w:val="003925E9"/>
    <w:rsid w:val="00392A7E"/>
    <w:rsid w:val="00394C36"/>
    <w:rsid w:val="00394E9F"/>
    <w:rsid w:val="003A02A1"/>
    <w:rsid w:val="003A474A"/>
    <w:rsid w:val="003A6B5C"/>
    <w:rsid w:val="003B1AB7"/>
    <w:rsid w:val="003B3C9C"/>
    <w:rsid w:val="003B48B4"/>
    <w:rsid w:val="003B6736"/>
    <w:rsid w:val="003C0747"/>
    <w:rsid w:val="003C6C9C"/>
    <w:rsid w:val="003C7266"/>
    <w:rsid w:val="003D2078"/>
    <w:rsid w:val="003D3CAA"/>
    <w:rsid w:val="003D7011"/>
    <w:rsid w:val="003D7611"/>
    <w:rsid w:val="003E4DCA"/>
    <w:rsid w:val="003E7C71"/>
    <w:rsid w:val="003F0713"/>
    <w:rsid w:val="003F2375"/>
    <w:rsid w:val="003F2FA4"/>
    <w:rsid w:val="003F3B51"/>
    <w:rsid w:val="003F3D45"/>
    <w:rsid w:val="003F4953"/>
    <w:rsid w:val="003F5452"/>
    <w:rsid w:val="003F6D98"/>
    <w:rsid w:val="003F7AF5"/>
    <w:rsid w:val="003F7DB7"/>
    <w:rsid w:val="0040221E"/>
    <w:rsid w:val="00403B25"/>
    <w:rsid w:val="0040595A"/>
    <w:rsid w:val="00405BF8"/>
    <w:rsid w:val="0040628F"/>
    <w:rsid w:val="004072FA"/>
    <w:rsid w:val="004105A1"/>
    <w:rsid w:val="00420666"/>
    <w:rsid w:val="00421363"/>
    <w:rsid w:val="00421AB8"/>
    <w:rsid w:val="0042695A"/>
    <w:rsid w:val="00426C0A"/>
    <w:rsid w:val="004272A7"/>
    <w:rsid w:val="004300D4"/>
    <w:rsid w:val="004316F0"/>
    <w:rsid w:val="004365AD"/>
    <w:rsid w:val="0044090C"/>
    <w:rsid w:val="00442FF2"/>
    <w:rsid w:val="004434F8"/>
    <w:rsid w:val="0045310F"/>
    <w:rsid w:val="00453BD6"/>
    <w:rsid w:val="004554CB"/>
    <w:rsid w:val="00456FAE"/>
    <w:rsid w:val="004607CD"/>
    <w:rsid w:val="0046122C"/>
    <w:rsid w:val="00461AB4"/>
    <w:rsid w:val="00463F73"/>
    <w:rsid w:val="00476547"/>
    <w:rsid w:val="00476D3D"/>
    <w:rsid w:val="004775D2"/>
    <w:rsid w:val="0047783A"/>
    <w:rsid w:val="004801BB"/>
    <w:rsid w:val="00483E26"/>
    <w:rsid w:val="0048742A"/>
    <w:rsid w:val="00487730"/>
    <w:rsid w:val="00490495"/>
    <w:rsid w:val="0049088E"/>
    <w:rsid w:val="004925DF"/>
    <w:rsid w:val="004936A8"/>
    <w:rsid w:val="00494168"/>
    <w:rsid w:val="004A0140"/>
    <w:rsid w:val="004A101E"/>
    <w:rsid w:val="004A5CA1"/>
    <w:rsid w:val="004A7ED9"/>
    <w:rsid w:val="004B21D7"/>
    <w:rsid w:val="004B5C33"/>
    <w:rsid w:val="004B7893"/>
    <w:rsid w:val="004C00A0"/>
    <w:rsid w:val="004C265E"/>
    <w:rsid w:val="004C35B5"/>
    <w:rsid w:val="004C7F56"/>
    <w:rsid w:val="004D20F9"/>
    <w:rsid w:val="004D2FD8"/>
    <w:rsid w:val="004D6D1E"/>
    <w:rsid w:val="004D72C2"/>
    <w:rsid w:val="004E16BB"/>
    <w:rsid w:val="004E68CF"/>
    <w:rsid w:val="004E7E1F"/>
    <w:rsid w:val="004F1264"/>
    <w:rsid w:val="004F2D4B"/>
    <w:rsid w:val="004F31A3"/>
    <w:rsid w:val="004F3BF4"/>
    <w:rsid w:val="004F5C57"/>
    <w:rsid w:val="004F6EE9"/>
    <w:rsid w:val="005005D7"/>
    <w:rsid w:val="00501FF0"/>
    <w:rsid w:val="00502B15"/>
    <w:rsid w:val="00503427"/>
    <w:rsid w:val="005071E3"/>
    <w:rsid w:val="00515616"/>
    <w:rsid w:val="00516552"/>
    <w:rsid w:val="00531CAA"/>
    <w:rsid w:val="00533C8D"/>
    <w:rsid w:val="00535826"/>
    <w:rsid w:val="00536B4A"/>
    <w:rsid w:val="00537189"/>
    <w:rsid w:val="00542E0F"/>
    <w:rsid w:val="0054522F"/>
    <w:rsid w:val="00545957"/>
    <w:rsid w:val="00546B6C"/>
    <w:rsid w:val="005506EB"/>
    <w:rsid w:val="00552278"/>
    <w:rsid w:val="00555BFC"/>
    <w:rsid w:val="00556923"/>
    <w:rsid w:val="005634B2"/>
    <w:rsid w:val="00570282"/>
    <w:rsid w:val="00571AF8"/>
    <w:rsid w:val="00575CB0"/>
    <w:rsid w:val="00580F0C"/>
    <w:rsid w:val="00582894"/>
    <w:rsid w:val="00586D6C"/>
    <w:rsid w:val="00587BC9"/>
    <w:rsid w:val="00591F23"/>
    <w:rsid w:val="00593550"/>
    <w:rsid w:val="0059371A"/>
    <w:rsid w:val="005B2018"/>
    <w:rsid w:val="005B2646"/>
    <w:rsid w:val="005B35D7"/>
    <w:rsid w:val="005B75F7"/>
    <w:rsid w:val="005C0EA1"/>
    <w:rsid w:val="005C1201"/>
    <w:rsid w:val="005C3558"/>
    <w:rsid w:val="005C77BC"/>
    <w:rsid w:val="005D20B7"/>
    <w:rsid w:val="005D72F7"/>
    <w:rsid w:val="005E0B76"/>
    <w:rsid w:val="005E2EE8"/>
    <w:rsid w:val="005E7167"/>
    <w:rsid w:val="005F1EC7"/>
    <w:rsid w:val="005F1F05"/>
    <w:rsid w:val="005F3C51"/>
    <w:rsid w:val="005F3E6B"/>
    <w:rsid w:val="005F62D0"/>
    <w:rsid w:val="005F7A76"/>
    <w:rsid w:val="005F7DC0"/>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08A5"/>
    <w:rsid w:val="0065117A"/>
    <w:rsid w:val="00651BD8"/>
    <w:rsid w:val="00652618"/>
    <w:rsid w:val="006532E3"/>
    <w:rsid w:val="0065398D"/>
    <w:rsid w:val="00654F04"/>
    <w:rsid w:val="0066145D"/>
    <w:rsid w:val="00661B3C"/>
    <w:rsid w:val="0066519D"/>
    <w:rsid w:val="00665C2E"/>
    <w:rsid w:val="00670610"/>
    <w:rsid w:val="00670E5E"/>
    <w:rsid w:val="00675524"/>
    <w:rsid w:val="00675D72"/>
    <w:rsid w:val="00677500"/>
    <w:rsid w:val="00681B16"/>
    <w:rsid w:val="0068247E"/>
    <w:rsid w:val="00682804"/>
    <w:rsid w:val="00684438"/>
    <w:rsid w:val="0069153C"/>
    <w:rsid w:val="00691664"/>
    <w:rsid w:val="006917B2"/>
    <w:rsid w:val="00692095"/>
    <w:rsid w:val="00696FDD"/>
    <w:rsid w:val="006A24C1"/>
    <w:rsid w:val="006A5F84"/>
    <w:rsid w:val="006B0532"/>
    <w:rsid w:val="006B0AB1"/>
    <w:rsid w:val="006B3EAE"/>
    <w:rsid w:val="006B5B42"/>
    <w:rsid w:val="006C2F05"/>
    <w:rsid w:val="006C513D"/>
    <w:rsid w:val="006D3BA1"/>
    <w:rsid w:val="006D4CEC"/>
    <w:rsid w:val="006E1DB1"/>
    <w:rsid w:val="006E226A"/>
    <w:rsid w:val="006E4A76"/>
    <w:rsid w:val="006E56FD"/>
    <w:rsid w:val="006E5D92"/>
    <w:rsid w:val="006E6880"/>
    <w:rsid w:val="006E6DD5"/>
    <w:rsid w:val="006F210E"/>
    <w:rsid w:val="006F320C"/>
    <w:rsid w:val="006F43E5"/>
    <w:rsid w:val="006F7CB5"/>
    <w:rsid w:val="00702131"/>
    <w:rsid w:val="00703425"/>
    <w:rsid w:val="00703D69"/>
    <w:rsid w:val="00710379"/>
    <w:rsid w:val="00711C72"/>
    <w:rsid w:val="0071243A"/>
    <w:rsid w:val="00712F25"/>
    <w:rsid w:val="00715B35"/>
    <w:rsid w:val="00723C11"/>
    <w:rsid w:val="00724D0C"/>
    <w:rsid w:val="007253FF"/>
    <w:rsid w:val="007307A9"/>
    <w:rsid w:val="00733488"/>
    <w:rsid w:val="00734020"/>
    <w:rsid w:val="0073450F"/>
    <w:rsid w:val="00740F25"/>
    <w:rsid w:val="007423EF"/>
    <w:rsid w:val="00742505"/>
    <w:rsid w:val="0075003E"/>
    <w:rsid w:val="0075170F"/>
    <w:rsid w:val="007531D2"/>
    <w:rsid w:val="0075384B"/>
    <w:rsid w:val="00754D2B"/>
    <w:rsid w:val="007563BB"/>
    <w:rsid w:val="007600CA"/>
    <w:rsid w:val="00760195"/>
    <w:rsid w:val="00761410"/>
    <w:rsid w:val="007625F7"/>
    <w:rsid w:val="007629E1"/>
    <w:rsid w:val="00762EA9"/>
    <w:rsid w:val="00763B1C"/>
    <w:rsid w:val="007666CD"/>
    <w:rsid w:val="0077201B"/>
    <w:rsid w:val="0077334B"/>
    <w:rsid w:val="00773FA6"/>
    <w:rsid w:val="00775749"/>
    <w:rsid w:val="00776BF7"/>
    <w:rsid w:val="00777E99"/>
    <w:rsid w:val="00785050"/>
    <w:rsid w:val="00787CA0"/>
    <w:rsid w:val="00792A1B"/>
    <w:rsid w:val="007939C3"/>
    <w:rsid w:val="0079405A"/>
    <w:rsid w:val="007A0045"/>
    <w:rsid w:val="007A0144"/>
    <w:rsid w:val="007A01BB"/>
    <w:rsid w:val="007A0C47"/>
    <w:rsid w:val="007A6254"/>
    <w:rsid w:val="007B15A3"/>
    <w:rsid w:val="007B222F"/>
    <w:rsid w:val="007B65DB"/>
    <w:rsid w:val="007C0BDD"/>
    <w:rsid w:val="007C1656"/>
    <w:rsid w:val="007C6835"/>
    <w:rsid w:val="007C702E"/>
    <w:rsid w:val="007C75E0"/>
    <w:rsid w:val="007D02BE"/>
    <w:rsid w:val="007D5FA2"/>
    <w:rsid w:val="007E0CD5"/>
    <w:rsid w:val="007E122E"/>
    <w:rsid w:val="007E3D5F"/>
    <w:rsid w:val="007E597D"/>
    <w:rsid w:val="007E64C1"/>
    <w:rsid w:val="007F634B"/>
    <w:rsid w:val="007F661B"/>
    <w:rsid w:val="007F6802"/>
    <w:rsid w:val="00803383"/>
    <w:rsid w:val="00806CE0"/>
    <w:rsid w:val="00811ACD"/>
    <w:rsid w:val="00811F58"/>
    <w:rsid w:val="0081263E"/>
    <w:rsid w:val="0081418B"/>
    <w:rsid w:val="00814C3A"/>
    <w:rsid w:val="00815C27"/>
    <w:rsid w:val="008163FF"/>
    <w:rsid w:val="008227A5"/>
    <w:rsid w:val="00822E7E"/>
    <w:rsid w:val="008272ED"/>
    <w:rsid w:val="00830ACF"/>
    <w:rsid w:val="00845115"/>
    <w:rsid w:val="00853F9D"/>
    <w:rsid w:val="0085667F"/>
    <w:rsid w:val="008617F3"/>
    <w:rsid w:val="0086414D"/>
    <w:rsid w:val="00864B73"/>
    <w:rsid w:val="008670ED"/>
    <w:rsid w:val="0086759F"/>
    <w:rsid w:val="00870FD6"/>
    <w:rsid w:val="008718AA"/>
    <w:rsid w:val="00872830"/>
    <w:rsid w:val="00874473"/>
    <w:rsid w:val="008808CB"/>
    <w:rsid w:val="008847D1"/>
    <w:rsid w:val="00885882"/>
    <w:rsid w:val="008859E6"/>
    <w:rsid w:val="00891D12"/>
    <w:rsid w:val="00892CE9"/>
    <w:rsid w:val="008934F5"/>
    <w:rsid w:val="008A048D"/>
    <w:rsid w:val="008A2256"/>
    <w:rsid w:val="008A39B7"/>
    <w:rsid w:val="008B2A9C"/>
    <w:rsid w:val="008C14A7"/>
    <w:rsid w:val="008C284B"/>
    <w:rsid w:val="008C4E79"/>
    <w:rsid w:val="008C5A40"/>
    <w:rsid w:val="008C5DAA"/>
    <w:rsid w:val="008C787A"/>
    <w:rsid w:val="008D242A"/>
    <w:rsid w:val="008D2B3A"/>
    <w:rsid w:val="008E40E2"/>
    <w:rsid w:val="008E6D20"/>
    <w:rsid w:val="008E7470"/>
    <w:rsid w:val="008E7587"/>
    <w:rsid w:val="008F2E42"/>
    <w:rsid w:val="008F3866"/>
    <w:rsid w:val="008F3B55"/>
    <w:rsid w:val="008F3D27"/>
    <w:rsid w:val="009018A4"/>
    <w:rsid w:val="009030B0"/>
    <w:rsid w:val="009037F5"/>
    <w:rsid w:val="00905848"/>
    <w:rsid w:val="009140D7"/>
    <w:rsid w:val="00914341"/>
    <w:rsid w:val="009143FD"/>
    <w:rsid w:val="00916181"/>
    <w:rsid w:val="00917D02"/>
    <w:rsid w:val="00920A51"/>
    <w:rsid w:val="00920DBC"/>
    <w:rsid w:val="00922542"/>
    <w:rsid w:val="0092453A"/>
    <w:rsid w:val="009251E3"/>
    <w:rsid w:val="009267A0"/>
    <w:rsid w:val="009319BD"/>
    <w:rsid w:val="0093582A"/>
    <w:rsid w:val="009423FB"/>
    <w:rsid w:val="00942E21"/>
    <w:rsid w:val="0094670B"/>
    <w:rsid w:val="00947FC3"/>
    <w:rsid w:val="00950813"/>
    <w:rsid w:val="009514EC"/>
    <w:rsid w:val="00961615"/>
    <w:rsid w:val="0097127D"/>
    <w:rsid w:val="00972CF5"/>
    <w:rsid w:val="00980A42"/>
    <w:rsid w:val="00985BEF"/>
    <w:rsid w:val="00986D62"/>
    <w:rsid w:val="00990FF8"/>
    <w:rsid w:val="00992060"/>
    <w:rsid w:val="00992112"/>
    <w:rsid w:val="00992A18"/>
    <w:rsid w:val="009956B4"/>
    <w:rsid w:val="00997243"/>
    <w:rsid w:val="009976B3"/>
    <w:rsid w:val="009A3792"/>
    <w:rsid w:val="009A3A53"/>
    <w:rsid w:val="009A4A52"/>
    <w:rsid w:val="009A538A"/>
    <w:rsid w:val="009A6F00"/>
    <w:rsid w:val="009B0CF1"/>
    <w:rsid w:val="009B1FBF"/>
    <w:rsid w:val="009B2F1F"/>
    <w:rsid w:val="009B422E"/>
    <w:rsid w:val="009B4D6F"/>
    <w:rsid w:val="009B5A6D"/>
    <w:rsid w:val="009B5FF5"/>
    <w:rsid w:val="009C0E86"/>
    <w:rsid w:val="009C1AB9"/>
    <w:rsid w:val="009D2938"/>
    <w:rsid w:val="009D3181"/>
    <w:rsid w:val="009D5314"/>
    <w:rsid w:val="009D5CB2"/>
    <w:rsid w:val="009E04E4"/>
    <w:rsid w:val="009E48A3"/>
    <w:rsid w:val="009E4FC6"/>
    <w:rsid w:val="009E6A31"/>
    <w:rsid w:val="009E6BB7"/>
    <w:rsid w:val="009F1371"/>
    <w:rsid w:val="009F3126"/>
    <w:rsid w:val="009F6BDF"/>
    <w:rsid w:val="009F7171"/>
    <w:rsid w:val="00A039CA"/>
    <w:rsid w:val="00A04FBF"/>
    <w:rsid w:val="00A05DCA"/>
    <w:rsid w:val="00A068EC"/>
    <w:rsid w:val="00A10D10"/>
    <w:rsid w:val="00A11437"/>
    <w:rsid w:val="00A11F12"/>
    <w:rsid w:val="00A139A6"/>
    <w:rsid w:val="00A14F76"/>
    <w:rsid w:val="00A1746F"/>
    <w:rsid w:val="00A213A0"/>
    <w:rsid w:val="00A2696E"/>
    <w:rsid w:val="00A2701B"/>
    <w:rsid w:val="00A33E31"/>
    <w:rsid w:val="00A4194A"/>
    <w:rsid w:val="00A42161"/>
    <w:rsid w:val="00A4424B"/>
    <w:rsid w:val="00A50D37"/>
    <w:rsid w:val="00A512A5"/>
    <w:rsid w:val="00A512C9"/>
    <w:rsid w:val="00A539E4"/>
    <w:rsid w:val="00A5438F"/>
    <w:rsid w:val="00A55597"/>
    <w:rsid w:val="00A56251"/>
    <w:rsid w:val="00A563CB"/>
    <w:rsid w:val="00A56C0B"/>
    <w:rsid w:val="00A6110F"/>
    <w:rsid w:val="00A62073"/>
    <w:rsid w:val="00A62A7F"/>
    <w:rsid w:val="00A633C6"/>
    <w:rsid w:val="00A63E3C"/>
    <w:rsid w:val="00A65361"/>
    <w:rsid w:val="00A665A2"/>
    <w:rsid w:val="00A676C2"/>
    <w:rsid w:val="00A712B9"/>
    <w:rsid w:val="00A719F0"/>
    <w:rsid w:val="00A721A0"/>
    <w:rsid w:val="00A72F9F"/>
    <w:rsid w:val="00A75650"/>
    <w:rsid w:val="00A75D60"/>
    <w:rsid w:val="00A77708"/>
    <w:rsid w:val="00A808EF"/>
    <w:rsid w:val="00A80DEA"/>
    <w:rsid w:val="00A820FC"/>
    <w:rsid w:val="00A826AD"/>
    <w:rsid w:val="00A8413B"/>
    <w:rsid w:val="00A845B1"/>
    <w:rsid w:val="00A90875"/>
    <w:rsid w:val="00A9509F"/>
    <w:rsid w:val="00AA24A4"/>
    <w:rsid w:val="00AA4766"/>
    <w:rsid w:val="00AA780B"/>
    <w:rsid w:val="00AB26E0"/>
    <w:rsid w:val="00AB29A9"/>
    <w:rsid w:val="00AB3AB0"/>
    <w:rsid w:val="00AB4760"/>
    <w:rsid w:val="00AB5A11"/>
    <w:rsid w:val="00AB5ED5"/>
    <w:rsid w:val="00AB66A5"/>
    <w:rsid w:val="00AC07D4"/>
    <w:rsid w:val="00AC0DE2"/>
    <w:rsid w:val="00AC2621"/>
    <w:rsid w:val="00AC7636"/>
    <w:rsid w:val="00AD0D7A"/>
    <w:rsid w:val="00AD1130"/>
    <w:rsid w:val="00AD5536"/>
    <w:rsid w:val="00AE5192"/>
    <w:rsid w:val="00AE6600"/>
    <w:rsid w:val="00AE7D13"/>
    <w:rsid w:val="00AF2A32"/>
    <w:rsid w:val="00AF4052"/>
    <w:rsid w:val="00AF47CA"/>
    <w:rsid w:val="00AF507E"/>
    <w:rsid w:val="00AF5255"/>
    <w:rsid w:val="00B07102"/>
    <w:rsid w:val="00B1032A"/>
    <w:rsid w:val="00B1165D"/>
    <w:rsid w:val="00B1414F"/>
    <w:rsid w:val="00B158B1"/>
    <w:rsid w:val="00B170EF"/>
    <w:rsid w:val="00B177FF"/>
    <w:rsid w:val="00B17A53"/>
    <w:rsid w:val="00B2499C"/>
    <w:rsid w:val="00B277E4"/>
    <w:rsid w:val="00B30528"/>
    <w:rsid w:val="00B3168E"/>
    <w:rsid w:val="00B33B43"/>
    <w:rsid w:val="00B3411B"/>
    <w:rsid w:val="00B35051"/>
    <w:rsid w:val="00B4108F"/>
    <w:rsid w:val="00B443C3"/>
    <w:rsid w:val="00B4454C"/>
    <w:rsid w:val="00B44B08"/>
    <w:rsid w:val="00B44DC5"/>
    <w:rsid w:val="00B4624E"/>
    <w:rsid w:val="00B4644C"/>
    <w:rsid w:val="00B4772C"/>
    <w:rsid w:val="00B50CF5"/>
    <w:rsid w:val="00B51209"/>
    <w:rsid w:val="00B525A7"/>
    <w:rsid w:val="00B54093"/>
    <w:rsid w:val="00B566B2"/>
    <w:rsid w:val="00B569B1"/>
    <w:rsid w:val="00B60082"/>
    <w:rsid w:val="00B61CED"/>
    <w:rsid w:val="00B63280"/>
    <w:rsid w:val="00B70B85"/>
    <w:rsid w:val="00B70C0E"/>
    <w:rsid w:val="00B7329A"/>
    <w:rsid w:val="00B7591D"/>
    <w:rsid w:val="00B76124"/>
    <w:rsid w:val="00B80DE8"/>
    <w:rsid w:val="00B8161D"/>
    <w:rsid w:val="00B84EBC"/>
    <w:rsid w:val="00B86755"/>
    <w:rsid w:val="00B90C14"/>
    <w:rsid w:val="00B93930"/>
    <w:rsid w:val="00B965CD"/>
    <w:rsid w:val="00B9691D"/>
    <w:rsid w:val="00B96E4B"/>
    <w:rsid w:val="00B96F5E"/>
    <w:rsid w:val="00BA204C"/>
    <w:rsid w:val="00BA2D4C"/>
    <w:rsid w:val="00BA70CB"/>
    <w:rsid w:val="00BA799E"/>
    <w:rsid w:val="00BB2075"/>
    <w:rsid w:val="00BB2CCE"/>
    <w:rsid w:val="00BB51C8"/>
    <w:rsid w:val="00BB56D3"/>
    <w:rsid w:val="00BB65D4"/>
    <w:rsid w:val="00BB6CB4"/>
    <w:rsid w:val="00BC112C"/>
    <w:rsid w:val="00BC163B"/>
    <w:rsid w:val="00BC2D2B"/>
    <w:rsid w:val="00BC2F6B"/>
    <w:rsid w:val="00BC3B75"/>
    <w:rsid w:val="00BC46F2"/>
    <w:rsid w:val="00BC6222"/>
    <w:rsid w:val="00BD0512"/>
    <w:rsid w:val="00BD201F"/>
    <w:rsid w:val="00BD2FEA"/>
    <w:rsid w:val="00BD3371"/>
    <w:rsid w:val="00BD7402"/>
    <w:rsid w:val="00BE34FF"/>
    <w:rsid w:val="00BE3AD8"/>
    <w:rsid w:val="00BE3BEE"/>
    <w:rsid w:val="00BF1A9A"/>
    <w:rsid w:val="00BF50A2"/>
    <w:rsid w:val="00C0329C"/>
    <w:rsid w:val="00C06C51"/>
    <w:rsid w:val="00C07667"/>
    <w:rsid w:val="00C123BB"/>
    <w:rsid w:val="00C12AF0"/>
    <w:rsid w:val="00C13C29"/>
    <w:rsid w:val="00C17310"/>
    <w:rsid w:val="00C24AB5"/>
    <w:rsid w:val="00C255E8"/>
    <w:rsid w:val="00C302E1"/>
    <w:rsid w:val="00C3235B"/>
    <w:rsid w:val="00C348C0"/>
    <w:rsid w:val="00C34E40"/>
    <w:rsid w:val="00C350C3"/>
    <w:rsid w:val="00C41328"/>
    <w:rsid w:val="00C413E2"/>
    <w:rsid w:val="00C41919"/>
    <w:rsid w:val="00C42CAE"/>
    <w:rsid w:val="00C5258B"/>
    <w:rsid w:val="00C53475"/>
    <w:rsid w:val="00C53F38"/>
    <w:rsid w:val="00C54801"/>
    <w:rsid w:val="00C57367"/>
    <w:rsid w:val="00C60DD3"/>
    <w:rsid w:val="00C61312"/>
    <w:rsid w:val="00C65062"/>
    <w:rsid w:val="00C720C8"/>
    <w:rsid w:val="00C7322E"/>
    <w:rsid w:val="00C73F5E"/>
    <w:rsid w:val="00C75CCE"/>
    <w:rsid w:val="00C778A1"/>
    <w:rsid w:val="00C80299"/>
    <w:rsid w:val="00C81B22"/>
    <w:rsid w:val="00C8328B"/>
    <w:rsid w:val="00C84AC6"/>
    <w:rsid w:val="00C85C8A"/>
    <w:rsid w:val="00C85F4A"/>
    <w:rsid w:val="00C86724"/>
    <w:rsid w:val="00C86C60"/>
    <w:rsid w:val="00C87F4C"/>
    <w:rsid w:val="00C913BF"/>
    <w:rsid w:val="00C9141C"/>
    <w:rsid w:val="00C92434"/>
    <w:rsid w:val="00C95D9C"/>
    <w:rsid w:val="00C976DE"/>
    <w:rsid w:val="00C979CE"/>
    <w:rsid w:val="00CA1354"/>
    <w:rsid w:val="00CA618A"/>
    <w:rsid w:val="00CA6C68"/>
    <w:rsid w:val="00CA7FAB"/>
    <w:rsid w:val="00CB3E27"/>
    <w:rsid w:val="00CB4E1D"/>
    <w:rsid w:val="00CC1A28"/>
    <w:rsid w:val="00CC6A3F"/>
    <w:rsid w:val="00CC7DE2"/>
    <w:rsid w:val="00CD7F25"/>
    <w:rsid w:val="00CE16A1"/>
    <w:rsid w:val="00CE1C36"/>
    <w:rsid w:val="00CE4FDE"/>
    <w:rsid w:val="00CF2D8C"/>
    <w:rsid w:val="00CF2DE2"/>
    <w:rsid w:val="00CF30C4"/>
    <w:rsid w:val="00CF48EA"/>
    <w:rsid w:val="00CF63C2"/>
    <w:rsid w:val="00CF6CFA"/>
    <w:rsid w:val="00D00E91"/>
    <w:rsid w:val="00D02E23"/>
    <w:rsid w:val="00D03108"/>
    <w:rsid w:val="00D04484"/>
    <w:rsid w:val="00D07A31"/>
    <w:rsid w:val="00D103BA"/>
    <w:rsid w:val="00D108F6"/>
    <w:rsid w:val="00D1398A"/>
    <w:rsid w:val="00D16ADA"/>
    <w:rsid w:val="00D17EE8"/>
    <w:rsid w:val="00D21056"/>
    <w:rsid w:val="00D243E7"/>
    <w:rsid w:val="00D24469"/>
    <w:rsid w:val="00D24893"/>
    <w:rsid w:val="00D308C3"/>
    <w:rsid w:val="00D312D2"/>
    <w:rsid w:val="00D33BE3"/>
    <w:rsid w:val="00D37E3E"/>
    <w:rsid w:val="00D42D7D"/>
    <w:rsid w:val="00D43612"/>
    <w:rsid w:val="00D44362"/>
    <w:rsid w:val="00D4697C"/>
    <w:rsid w:val="00D52CBF"/>
    <w:rsid w:val="00D54C28"/>
    <w:rsid w:val="00D576CA"/>
    <w:rsid w:val="00D578D3"/>
    <w:rsid w:val="00D62067"/>
    <w:rsid w:val="00D621D6"/>
    <w:rsid w:val="00D662AA"/>
    <w:rsid w:val="00D6653E"/>
    <w:rsid w:val="00D66F04"/>
    <w:rsid w:val="00D678AC"/>
    <w:rsid w:val="00D67DBA"/>
    <w:rsid w:val="00D71AF3"/>
    <w:rsid w:val="00D72793"/>
    <w:rsid w:val="00D735D6"/>
    <w:rsid w:val="00D73E36"/>
    <w:rsid w:val="00D75213"/>
    <w:rsid w:val="00D83D1B"/>
    <w:rsid w:val="00D85561"/>
    <w:rsid w:val="00D85672"/>
    <w:rsid w:val="00D8732D"/>
    <w:rsid w:val="00D90043"/>
    <w:rsid w:val="00D92BA6"/>
    <w:rsid w:val="00D92FC8"/>
    <w:rsid w:val="00D93F90"/>
    <w:rsid w:val="00D950BA"/>
    <w:rsid w:val="00D97146"/>
    <w:rsid w:val="00D973C6"/>
    <w:rsid w:val="00D979C6"/>
    <w:rsid w:val="00D97FDC"/>
    <w:rsid w:val="00DA4AB8"/>
    <w:rsid w:val="00DA4D57"/>
    <w:rsid w:val="00DB5F3B"/>
    <w:rsid w:val="00DB7EEF"/>
    <w:rsid w:val="00DC3CEE"/>
    <w:rsid w:val="00DC50E2"/>
    <w:rsid w:val="00DC54A0"/>
    <w:rsid w:val="00DC6C9C"/>
    <w:rsid w:val="00DC7EB2"/>
    <w:rsid w:val="00DD005F"/>
    <w:rsid w:val="00DD0624"/>
    <w:rsid w:val="00DD13B0"/>
    <w:rsid w:val="00DD6678"/>
    <w:rsid w:val="00DE13B8"/>
    <w:rsid w:val="00DE19B1"/>
    <w:rsid w:val="00DE2858"/>
    <w:rsid w:val="00DE378C"/>
    <w:rsid w:val="00DE5949"/>
    <w:rsid w:val="00DE67A7"/>
    <w:rsid w:val="00DE7055"/>
    <w:rsid w:val="00DE71AB"/>
    <w:rsid w:val="00DF25C5"/>
    <w:rsid w:val="00DF2FF3"/>
    <w:rsid w:val="00DF3134"/>
    <w:rsid w:val="00DF589E"/>
    <w:rsid w:val="00DF7145"/>
    <w:rsid w:val="00DF7327"/>
    <w:rsid w:val="00DF7A40"/>
    <w:rsid w:val="00E0295D"/>
    <w:rsid w:val="00E034FB"/>
    <w:rsid w:val="00E07D2A"/>
    <w:rsid w:val="00E10B1C"/>
    <w:rsid w:val="00E111AC"/>
    <w:rsid w:val="00E13CDE"/>
    <w:rsid w:val="00E14817"/>
    <w:rsid w:val="00E160B3"/>
    <w:rsid w:val="00E168E3"/>
    <w:rsid w:val="00E203EF"/>
    <w:rsid w:val="00E20DD5"/>
    <w:rsid w:val="00E213A7"/>
    <w:rsid w:val="00E215DF"/>
    <w:rsid w:val="00E2190B"/>
    <w:rsid w:val="00E226C6"/>
    <w:rsid w:val="00E2682A"/>
    <w:rsid w:val="00E27678"/>
    <w:rsid w:val="00E27B37"/>
    <w:rsid w:val="00E3200D"/>
    <w:rsid w:val="00E3305F"/>
    <w:rsid w:val="00E340A7"/>
    <w:rsid w:val="00E34208"/>
    <w:rsid w:val="00E37290"/>
    <w:rsid w:val="00E37A55"/>
    <w:rsid w:val="00E41C6F"/>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67BD9"/>
    <w:rsid w:val="00E71C9B"/>
    <w:rsid w:val="00E72143"/>
    <w:rsid w:val="00E730A5"/>
    <w:rsid w:val="00E75503"/>
    <w:rsid w:val="00E80269"/>
    <w:rsid w:val="00E811F3"/>
    <w:rsid w:val="00E82463"/>
    <w:rsid w:val="00E82EBF"/>
    <w:rsid w:val="00E84351"/>
    <w:rsid w:val="00E84F50"/>
    <w:rsid w:val="00E85F91"/>
    <w:rsid w:val="00E93D1C"/>
    <w:rsid w:val="00E94212"/>
    <w:rsid w:val="00E96D0F"/>
    <w:rsid w:val="00EA1ADC"/>
    <w:rsid w:val="00EA23A7"/>
    <w:rsid w:val="00EA75C1"/>
    <w:rsid w:val="00EB295F"/>
    <w:rsid w:val="00EB3B91"/>
    <w:rsid w:val="00EB78F4"/>
    <w:rsid w:val="00EC0DD2"/>
    <w:rsid w:val="00EC16F8"/>
    <w:rsid w:val="00EC2A8D"/>
    <w:rsid w:val="00EC48C8"/>
    <w:rsid w:val="00EC4FD6"/>
    <w:rsid w:val="00EC571A"/>
    <w:rsid w:val="00ED0949"/>
    <w:rsid w:val="00ED219D"/>
    <w:rsid w:val="00ED3206"/>
    <w:rsid w:val="00EE0ED9"/>
    <w:rsid w:val="00EE109E"/>
    <w:rsid w:val="00EE23B1"/>
    <w:rsid w:val="00EE2E55"/>
    <w:rsid w:val="00EE382A"/>
    <w:rsid w:val="00EE3EB0"/>
    <w:rsid w:val="00EE6BC0"/>
    <w:rsid w:val="00EF1C05"/>
    <w:rsid w:val="00EF2700"/>
    <w:rsid w:val="00EF3951"/>
    <w:rsid w:val="00EF4E98"/>
    <w:rsid w:val="00EF5EB6"/>
    <w:rsid w:val="00EF6426"/>
    <w:rsid w:val="00F01A04"/>
    <w:rsid w:val="00F02006"/>
    <w:rsid w:val="00F041A6"/>
    <w:rsid w:val="00F0574A"/>
    <w:rsid w:val="00F10944"/>
    <w:rsid w:val="00F13853"/>
    <w:rsid w:val="00F166D4"/>
    <w:rsid w:val="00F25C38"/>
    <w:rsid w:val="00F33A99"/>
    <w:rsid w:val="00F35018"/>
    <w:rsid w:val="00F40E0E"/>
    <w:rsid w:val="00F416E6"/>
    <w:rsid w:val="00F44112"/>
    <w:rsid w:val="00F45106"/>
    <w:rsid w:val="00F4528C"/>
    <w:rsid w:val="00F5422C"/>
    <w:rsid w:val="00F560DD"/>
    <w:rsid w:val="00F56D4C"/>
    <w:rsid w:val="00F63914"/>
    <w:rsid w:val="00F652E9"/>
    <w:rsid w:val="00F658F3"/>
    <w:rsid w:val="00F65A20"/>
    <w:rsid w:val="00F6604F"/>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6A15"/>
    <w:rsid w:val="00FC6AA4"/>
    <w:rsid w:val="00FD23CD"/>
    <w:rsid w:val="00FD4F5A"/>
    <w:rsid w:val="00FD68B9"/>
    <w:rsid w:val="00FD6CB9"/>
    <w:rsid w:val="00FD7D89"/>
    <w:rsid w:val="00FE3081"/>
    <w:rsid w:val="00FE3E3B"/>
    <w:rsid w:val="00FE7D87"/>
    <w:rsid w:val="00FF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A76"/>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9956B4"/>
    <w:pPr>
      <w:keepNext/>
      <w:spacing w:before="240" w:after="240"/>
      <w:ind w:left="567" w:hanging="567"/>
      <w:jc w:val="both"/>
      <w:outlineLvl w:val="0"/>
    </w:pPr>
    <w:rPr>
      <w:rFonts w:ascii="Times New Roman" w:hAnsi="Times New Roman"/>
      <w:b/>
      <w:sz w:val="28"/>
    </w:rPr>
  </w:style>
  <w:style w:type="paragraph" w:styleId="Heading2">
    <w:name w:val="heading 2"/>
    <w:basedOn w:val="Normal"/>
    <w:next w:val="Normal"/>
    <w:link w:val="Heading2Char"/>
    <w:qFormat/>
    <w:pPr>
      <w:keepNext/>
      <w:outlineLvl w:val="1"/>
    </w:p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Subtitle">
    <w:name w:val="Subtitle"/>
    <w:basedOn w:val="Normal"/>
    <w:link w:val="SubtitleChar"/>
    <w:qFormat/>
    <w:pPr>
      <w:jc w:val="center"/>
    </w:pPr>
    <w:rPr>
      <w:b/>
      <w:sz w:val="28"/>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EB295F"/>
    <w:pPr>
      <w:spacing w:before="0"/>
    </w:pPr>
    <w:rPr>
      <w:rFonts w:ascii="Times New Roman" w:hAnsi="Times New Roman"/>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uiPriority w:val="99"/>
    <w:qFormat/>
    <w:rPr>
      <w:vertAlign w:val="superscript"/>
    </w:rPr>
  </w:style>
  <w:style w:type="paragraph" w:styleId="DocumentMap">
    <w:name w:val="Document Map"/>
    <w:basedOn w:val="Normal"/>
    <w:link w:val="DocumentMapCh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spacing w:before="0" w:after="0"/>
      <w:ind w:left="0" w:firstLine="0"/>
      <w:jc w:val="left"/>
      <w:outlineLvl w:val="9"/>
    </w:pPr>
    <w:rPr>
      <w:caps/>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FR" w:eastAsia="en-US" w:bidi="ar-SA"/>
    </w:rPr>
  </w:style>
  <w:style w:type="character" w:customStyle="1" w:styleId="Heading1Char1">
    <w:name w:val="Heading 1 Char1"/>
    <w:link w:val="Heading1"/>
    <w:rsid w:val="009956B4"/>
    <w:rPr>
      <w:b/>
      <w:snapToGrid w:val="0"/>
      <w:sz w:val="28"/>
      <w:lang w:val="fr-FR" w:eastAsia="en-US"/>
    </w:rPr>
  </w:style>
  <w:style w:type="character" w:customStyle="1" w:styleId="Heading1Char">
    <w:name w:val="Heading 1 Char"/>
    <w:locked/>
    <w:rsid w:val="0047783A"/>
    <w:rPr>
      <w:b/>
      <w:sz w:val="24"/>
      <w:szCs w:val="24"/>
      <w:lang w:val="fr-FR" w:eastAsia="en-US" w:bidi="ar-SA"/>
    </w:rPr>
  </w:style>
  <w:style w:type="character" w:customStyle="1" w:styleId="Heading3Char">
    <w:name w:val="Heading 3 Char"/>
    <w:link w:val="Heading3"/>
    <w:semiHidden/>
    <w:locked/>
    <w:rsid w:val="0047783A"/>
    <w:rPr>
      <w:rFonts w:ascii="Arial" w:hAnsi="Arial"/>
      <w:snapToGrid w:val="0"/>
      <w:lang w:val="fr-FR" w:eastAsia="en-US" w:bidi="ar-SA"/>
    </w:rPr>
  </w:style>
  <w:style w:type="character" w:customStyle="1" w:styleId="Heading4Char">
    <w:name w:val="Heading 4 Char"/>
    <w:link w:val="Heading4"/>
    <w:semiHidden/>
    <w:locked/>
    <w:rsid w:val="0047783A"/>
    <w:rPr>
      <w:rFonts w:ascii="Arial" w:hAnsi="Arial"/>
      <w:b/>
      <w:snapToGrid w:val="0"/>
      <w:sz w:val="24"/>
      <w:lang w:val="fr-FR" w:eastAsia="en-US" w:bidi="ar-SA"/>
    </w:rPr>
  </w:style>
  <w:style w:type="character" w:customStyle="1" w:styleId="Heading5Char">
    <w:name w:val="Heading 5 Char"/>
    <w:link w:val="Heading5"/>
    <w:semiHidden/>
    <w:locked/>
    <w:rsid w:val="0047783A"/>
    <w:rPr>
      <w:rFonts w:ascii="Arial" w:hAnsi="Arial"/>
      <w:snapToGrid w:val="0"/>
      <w:sz w:val="22"/>
      <w:lang w:val="fr-FR" w:eastAsia="en-US" w:bidi="ar-SA"/>
    </w:rPr>
  </w:style>
  <w:style w:type="character" w:customStyle="1" w:styleId="Heading6Char">
    <w:name w:val="Heading 6 Char"/>
    <w:link w:val="Heading6"/>
    <w:semiHidden/>
    <w:locked/>
    <w:rsid w:val="0047783A"/>
    <w:rPr>
      <w:rFonts w:ascii="Arial" w:hAnsi="Arial"/>
      <w:i/>
      <w:snapToGrid w:val="0"/>
      <w:sz w:val="22"/>
      <w:lang w:val="fr-FR" w:eastAsia="en-US" w:bidi="ar-SA"/>
    </w:rPr>
  </w:style>
  <w:style w:type="character" w:customStyle="1" w:styleId="Heading7Char">
    <w:name w:val="Heading 7 Char"/>
    <w:link w:val="Heading7"/>
    <w:semiHidden/>
    <w:locked/>
    <w:rsid w:val="0047783A"/>
    <w:rPr>
      <w:rFonts w:ascii="Arial" w:hAnsi="Arial"/>
      <w:snapToGrid w:val="0"/>
      <w:lang w:val="fr-FR" w:eastAsia="en-US" w:bidi="ar-SA"/>
    </w:rPr>
  </w:style>
  <w:style w:type="character" w:customStyle="1" w:styleId="Heading8Char">
    <w:name w:val="Heading 8 Char"/>
    <w:link w:val="Heading8"/>
    <w:semiHidden/>
    <w:locked/>
    <w:rsid w:val="0047783A"/>
    <w:rPr>
      <w:rFonts w:ascii="Arial" w:hAnsi="Arial"/>
      <w:i/>
      <w:snapToGrid w:val="0"/>
      <w:lang w:val="fr-FR" w:eastAsia="en-US" w:bidi="ar-SA"/>
    </w:rPr>
  </w:style>
  <w:style w:type="character" w:customStyle="1" w:styleId="Heading9Char">
    <w:name w:val="Heading 9 Char"/>
    <w:link w:val="Heading9"/>
    <w:semiHidden/>
    <w:locked/>
    <w:rsid w:val="0047783A"/>
    <w:rPr>
      <w:rFonts w:ascii="Arial" w:hAnsi="Arial"/>
      <w:b/>
      <w:i/>
      <w:snapToGrid w:val="0"/>
      <w:sz w:val="18"/>
      <w:lang w:val="fr-FR" w:eastAsia="en-US" w:bidi="ar-SA"/>
    </w:rPr>
  </w:style>
  <w:style w:type="character" w:customStyle="1" w:styleId="TitleChar">
    <w:name w:val="Title Char"/>
    <w:link w:val="Title"/>
    <w:locked/>
    <w:rsid w:val="0047783A"/>
    <w:rPr>
      <w:rFonts w:ascii="Arial" w:hAnsi="Arial"/>
      <w:b/>
      <w:snapToGrid w:val="0"/>
      <w:sz w:val="28"/>
      <w:lang w:val="fr-FR" w:eastAsia="en-US" w:bidi="ar-SA"/>
    </w:rPr>
  </w:style>
  <w:style w:type="character" w:customStyle="1" w:styleId="SubtitleChar">
    <w:name w:val="Subtitle Char"/>
    <w:link w:val="Subtitle"/>
    <w:locked/>
    <w:rsid w:val="0047783A"/>
    <w:rPr>
      <w:rFonts w:ascii="Arial" w:hAnsi="Arial"/>
      <w:b/>
      <w:snapToGrid w:val="0"/>
      <w:sz w:val="28"/>
      <w:lang w:val="fr-FR" w:eastAsia="en-US" w:bidi="ar-SA"/>
    </w:rPr>
  </w:style>
  <w:style w:type="character" w:customStyle="1" w:styleId="BodyTextIndentChar">
    <w:name w:val="Body Text Indent Char"/>
    <w:link w:val="BodyTextIndent"/>
    <w:semiHidden/>
    <w:locked/>
    <w:rsid w:val="0047783A"/>
    <w:rPr>
      <w:snapToGrid w:val="0"/>
      <w:sz w:val="24"/>
      <w:lang w:val="fr-FR" w:eastAsia="en-US" w:bidi="ar-SA"/>
    </w:rPr>
  </w:style>
  <w:style w:type="character" w:customStyle="1" w:styleId="BodyTextChar">
    <w:name w:val="Body Text Char"/>
    <w:link w:val="BodyText"/>
    <w:semiHidden/>
    <w:locked/>
    <w:rsid w:val="0047783A"/>
    <w:rPr>
      <w:rFonts w:ascii="Arial" w:hAnsi="Arial"/>
      <w:snapToGrid w:val="0"/>
      <w:lang w:val="fr-FR"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fr-FR" w:eastAsia="en-US" w:bidi="ar-SA"/>
    </w:rPr>
  </w:style>
  <w:style w:type="character" w:customStyle="1" w:styleId="BodyTextIndent3Char">
    <w:name w:val="Body Text Indent 3 Char"/>
    <w:link w:val="BodyTextIndent3"/>
    <w:semiHidden/>
    <w:locked/>
    <w:rsid w:val="0047783A"/>
    <w:rPr>
      <w:rFonts w:ascii="Arial" w:hAnsi="Arial"/>
      <w:snapToGrid w:val="0"/>
      <w:sz w:val="24"/>
      <w:lang w:val="fr-FR" w:eastAsia="en-US" w:bidi="ar-SA"/>
    </w:rPr>
  </w:style>
  <w:style w:type="character" w:customStyle="1" w:styleId="HeaderChar">
    <w:name w:val="Header Char"/>
    <w:link w:val="Header"/>
    <w:semiHidden/>
    <w:locked/>
    <w:rsid w:val="0047783A"/>
    <w:rPr>
      <w:rFonts w:ascii="Arial" w:hAnsi="Arial"/>
      <w:snapToGrid w:val="0"/>
      <w:lang w:val="fr-FR" w:eastAsia="en-US" w:bidi="ar-SA"/>
    </w:rPr>
  </w:style>
  <w:style w:type="character" w:customStyle="1" w:styleId="FooterChar">
    <w:name w:val="Footer Char"/>
    <w:link w:val="Footer"/>
    <w:semiHidden/>
    <w:locked/>
    <w:rsid w:val="0047783A"/>
    <w:rPr>
      <w:rFonts w:ascii="Arial" w:hAnsi="Arial"/>
      <w:snapToGrid w:val="0"/>
      <w:lang w:val="fr-FR" w:eastAsia="en-US" w:bidi="ar-SA"/>
    </w:rPr>
  </w:style>
  <w:style w:type="character" w:customStyle="1" w:styleId="BodyText3Char">
    <w:name w:val="Body Text 3 Char"/>
    <w:link w:val="BodyText3"/>
    <w:semiHidden/>
    <w:locked/>
    <w:rsid w:val="0047783A"/>
    <w:rPr>
      <w:rFonts w:ascii="Arial" w:hAnsi="Arial"/>
      <w:b/>
      <w:snapToGrid w:val="0"/>
      <w:sz w:val="24"/>
      <w:lang w:val="fr-FR"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styleId="UnresolvedMention">
    <w:name w:val="Unresolved Mention"/>
    <w:basedOn w:val="DefaultParagraphFont"/>
    <w:uiPriority w:val="99"/>
    <w:semiHidden/>
    <w:unhideWhenUsed/>
    <w:rsid w:val="00D5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FR/Annex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ikis.ec.europa.eu/display/ExactExternalWikiFR/Annex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0C8ED-DBD8-4F59-926F-8A4AD440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6587</Words>
  <Characters>37550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XXXXXXX</Company>
  <LinksUpToDate>false</LinksUpToDate>
  <CharactersWithSpaces>44049</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PMSAN</dc:creator>
  <cp:keywords/>
  <cp:lastModifiedBy>AL Thermil</cp:lastModifiedBy>
  <cp:revision>7</cp:revision>
  <cp:lastPrinted>2026-04-28T13:58:00Z</cp:lastPrinted>
  <dcterms:created xsi:type="dcterms:W3CDTF">2026-04-13T16:55:00Z</dcterms:created>
  <dcterms:modified xsi:type="dcterms:W3CDTF">2026-05-05T16:03:00Z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