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C7C6B" w14:textId="77777777" w:rsidR="001B7834" w:rsidRDefault="001B7834" w:rsidP="00B45635">
      <w:pPr>
        <w:pStyle w:val="Header"/>
        <w:spacing w:before="0" w:after="0"/>
        <w:jc w:val="center"/>
        <w:rPr>
          <w:rFonts w:ascii="Times New Roman" w:hAnsi="Times New Roman"/>
          <w:caps/>
          <w:sz w:val="28"/>
          <w:szCs w:val="28"/>
        </w:rPr>
      </w:pPr>
    </w:p>
    <w:p w14:paraId="463E0171" w14:textId="77777777" w:rsidR="0047783A" w:rsidRPr="006A5F84" w:rsidRDefault="0047783A" w:rsidP="00B45635">
      <w:pPr>
        <w:pStyle w:val="Header"/>
        <w:spacing w:before="0" w:after="0"/>
        <w:jc w:val="center"/>
        <w:rPr>
          <w:rFonts w:ascii="Times New Roman" w:hAnsi="Times New Roman"/>
          <w:sz w:val="28"/>
          <w:szCs w:val="28"/>
        </w:rPr>
      </w:pPr>
      <w:r>
        <w:rPr>
          <w:rFonts w:ascii="Times New Roman" w:hAnsi="Times New Roman"/>
          <w:caps/>
          <w:sz w:val="28"/>
          <w:szCs w:val="28"/>
        </w:rPr>
        <w:t>Liste de contrôle pour l’ouverture des offres d’un marché de FOURNITURES</w:t>
      </w:r>
    </w:p>
    <w:p w14:paraId="53CA2D75" w14:textId="77777777" w:rsidR="0047783A" w:rsidRPr="006A5F84" w:rsidRDefault="0047783A" w:rsidP="00B45635">
      <w:pPr>
        <w:pStyle w:val="Header"/>
        <w:tabs>
          <w:tab w:val="clear" w:pos="4320"/>
        </w:tabs>
        <w:spacing w:before="0" w:after="0"/>
        <w:jc w:val="center"/>
        <w:rPr>
          <w:rFonts w:ascii="Times New Roman" w:hAnsi="Times New Roman"/>
          <w:sz w:val="28"/>
          <w:szCs w:val="28"/>
        </w:rPr>
      </w:pPr>
      <w:r>
        <w:rPr>
          <w:rFonts w:ascii="Times New Roman" w:hAnsi="Times New Roman"/>
          <w:sz w:val="28"/>
          <w:szCs w:val="28"/>
        </w:rPr>
        <w:t xml:space="preserve">RÉFÉRENCE DE </w:t>
      </w:r>
      <w:proofErr w:type="gramStart"/>
      <w:r>
        <w:rPr>
          <w:rFonts w:ascii="Times New Roman" w:hAnsi="Times New Roman"/>
          <w:sz w:val="28"/>
          <w:szCs w:val="28"/>
        </w:rPr>
        <w:t>PUBLICATION:</w:t>
      </w:r>
      <w:proofErr w:type="gramEnd"/>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1"/>
        <w:gridCol w:w="1247"/>
      </w:tblGrid>
      <w:tr w:rsidR="0047783A" w:rsidRPr="006A5F84" w14:paraId="1EC1BD89" w14:textId="77777777" w:rsidTr="00F70290">
        <w:trPr>
          <w:jc w:val="center"/>
        </w:trPr>
        <w:tc>
          <w:tcPr>
            <w:tcW w:w="8051" w:type="dxa"/>
            <w:tcBorders>
              <w:bottom w:val="single" w:sz="4" w:space="0" w:color="auto"/>
            </w:tcBorders>
            <w:vAlign w:val="center"/>
          </w:tcPr>
          <w:p w14:paraId="0E3EC071" w14:textId="77777777" w:rsidR="0047783A" w:rsidRPr="006A5F84" w:rsidRDefault="0047783A" w:rsidP="00A36AF1">
            <w:pPr>
              <w:rPr>
                <w:rFonts w:ascii="Times New Roman" w:hAnsi="Times New Roman"/>
                <w:b/>
                <w:szCs w:val="22"/>
              </w:rPr>
            </w:pPr>
            <w:r>
              <w:rPr>
                <w:rFonts w:ascii="Times New Roman" w:hAnsi="Times New Roman"/>
                <w:b/>
                <w:szCs w:val="22"/>
              </w:rPr>
              <w:t>Étape</w:t>
            </w:r>
          </w:p>
        </w:tc>
        <w:tc>
          <w:tcPr>
            <w:tcW w:w="1247" w:type="dxa"/>
            <w:tcBorders>
              <w:bottom w:val="single" w:sz="4" w:space="0" w:color="auto"/>
            </w:tcBorders>
          </w:tcPr>
          <w:p w14:paraId="186967D9" w14:textId="77777777" w:rsidR="0047783A" w:rsidRPr="006A5F84" w:rsidRDefault="0047783A" w:rsidP="0047783A">
            <w:pPr>
              <w:jc w:val="center"/>
              <w:rPr>
                <w:rFonts w:ascii="Times New Roman" w:hAnsi="Times New Roman"/>
                <w:b/>
                <w:szCs w:val="22"/>
              </w:rPr>
            </w:pPr>
          </w:p>
        </w:tc>
      </w:tr>
      <w:tr w:rsidR="0047783A" w:rsidRPr="006A5F84" w14:paraId="07FDCB1D" w14:textId="77777777" w:rsidTr="00F70290">
        <w:trPr>
          <w:jc w:val="center"/>
        </w:trPr>
        <w:tc>
          <w:tcPr>
            <w:tcW w:w="8051" w:type="dxa"/>
            <w:tcBorders>
              <w:top w:val="nil"/>
            </w:tcBorders>
            <w:shd w:val="pct10" w:color="auto" w:fill="FFFFFF"/>
            <w:vAlign w:val="center"/>
          </w:tcPr>
          <w:p w14:paraId="0990F21C" w14:textId="77777777" w:rsidR="0047783A" w:rsidRPr="006A5F84" w:rsidRDefault="0047783A" w:rsidP="00F70290">
            <w:pPr>
              <w:rPr>
                <w:rFonts w:ascii="Times New Roman" w:hAnsi="Times New Roman"/>
                <w:b/>
                <w:szCs w:val="22"/>
              </w:rPr>
            </w:pPr>
            <w:r>
              <w:rPr>
                <w:rFonts w:ascii="Times New Roman" w:hAnsi="Times New Roman"/>
                <w:b/>
                <w:szCs w:val="22"/>
              </w:rPr>
              <w:t>Séance préparatoire</w:t>
            </w:r>
          </w:p>
        </w:tc>
        <w:tc>
          <w:tcPr>
            <w:tcW w:w="1247" w:type="dxa"/>
            <w:tcBorders>
              <w:top w:val="nil"/>
            </w:tcBorders>
            <w:shd w:val="pct10" w:color="auto" w:fill="FFFFFF"/>
          </w:tcPr>
          <w:p w14:paraId="18A4DEA3" w14:textId="77777777" w:rsidR="0047783A" w:rsidRPr="006A5F84" w:rsidRDefault="0047783A">
            <w:pPr>
              <w:spacing w:before="0"/>
              <w:rPr>
                <w:rFonts w:ascii="Times New Roman" w:hAnsi="Times New Roman"/>
                <w:szCs w:val="22"/>
              </w:rPr>
            </w:pPr>
          </w:p>
        </w:tc>
      </w:tr>
      <w:tr w:rsidR="0047783A" w:rsidRPr="006A5F84" w14:paraId="13D5E106" w14:textId="77777777" w:rsidTr="0047783A">
        <w:trPr>
          <w:jc w:val="center"/>
        </w:trPr>
        <w:tc>
          <w:tcPr>
            <w:tcW w:w="8051" w:type="dxa"/>
            <w:tcBorders>
              <w:bottom w:val="nil"/>
            </w:tcBorders>
          </w:tcPr>
          <w:p w14:paraId="2E65DE58" w14:textId="77777777" w:rsidR="0047783A" w:rsidRPr="006A5F84" w:rsidRDefault="0047783A" w:rsidP="0047783A">
            <w:pPr>
              <w:numPr>
                <w:ilvl w:val="0"/>
                <w:numId w:val="13"/>
              </w:numPr>
              <w:jc w:val="both"/>
              <w:rPr>
                <w:rFonts w:ascii="Times New Roman" w:hAnsi="Times New Roman"/>
                <w:szCs w:val="22"/>
              </w:rPr>
            </w:pPr>
            <w:r>
              <w:rPr>
                <w:rFonts w:ascii="Times New Roman" w:hAnsi="Times New Roman"/>
                <w:szCs w:val="22"/>
              </w:rPr>
              <w:t>Le président décrit l’objet du marché proposé, énonce l’identité de l’organisation/des organisations responsable(s) de la préparation du dossier d’appel d’offres et résume les points essentiels de la procédure d’appel d’offres à ce stade, y compris la grille d’évaluation publiée dans le dossier d’appel d’offres.</w:t>
            </w:r>
          </w:p>
        </w:tc>
        <w:tc>
          <w:tcPr>
            <w:tcW w:w="1247" w:type="dxa"/>
            <w:tcBorders>
              <w:bottom w:val="nil"/>
            </w:tcBorders>
          </w:tcPr>
          <w:p w14:paraId="150FA266" w14:textId="77777777" w:rsidR="0047783A" w:rsidRPr="006A5F84" w:rsidRDefault="0047783A">
            <w:pPr>
              <w:rPr>
                <w:rFonts w:ascii="Times New Roman" w:hAnsi="Times New Roman"/>
                <w:szCs w:val="22"/>
              </w:rPr>
            </w:pPr>
          </w:p>
        </w:tc>
      </w:tr>
      <w:tr w:rsidR="0047783A" w:rsidRPr="006A5F84" w14:paraId="48C888A5" w14:textId="77777777" w:rsidTr="0047783A">
        <w:trPr>
          <w:jc w:val="center"/>
        </w:trPr>
        <w:tc>
          <w:tcPr>
            <w:tcW w:w="8051" w:type="dxa"/>
          </w:tcPr>
          <w:p w14:paraId="0F265EFA" w14:textId="77777777" w:rsidR="0047783A" w:rsidRPr="006A5F84" w:rsidRDefault="0047783A" w:rsidP="0047783A">
            <w:pPr>
              <w:numPr>
                <w:ilvl w:val="0"/>
                <w:numId w:val="13"/>
              </w:numPr>
              <w:jc w:val="both"/>
              <w:rPr>
                <w:rFonts w:ascii="Times New Roman" w:hAnsi="Times New Roman"/>
                <w:szCs w:val="22"/>
              </w:rPr>
            </w:pPr>
            <w:r>
              <w:rPr>
                <w:rFonts w:ascii="Times New Roman" w:hAnsi="Times New Roman"/>
                <w:szCs w:val="22"/>
              </w:rPr>
              <w:t>Toutes les enveloppes doivent être numérotées selon l’ordre dans lequel elles ont été reçues.</w:t>
            </w:r>
          </w:p>
        </w:tc>
        <w:tc>
          <w:tcPr>
            <w:tcW w:w="1247" w:type="dxa"/>
          </w:tcPr>
          <w:p w14:paraId="4E164E59" w14:textId="77777777" w:rsidR="0047783A" w:rsidRPr="006A5F84" w:rsidRDefault="0047783A" w:rsidP="0047783A">
            <w:pPr>
              <w:rPr>
                <w:rFonts w:ascii="Times New Roman" w:hAnsi="Times New Roman"/>
                <w:szCs w:val="22"/>
              </w:rPr>
            </w:pPr>
          </w:p>
        </w:tc>
      </w:tr>
      <w:tr w:rsidR="0047783A" w:rsidRPr="006A5F84" w14:paraId="7E049126" w14:textId="77777777" w:rsidTr="0047783A">
        <w:trPr>
          <w:jc w:val="center"/>
        </w:trPr>
        <w:tc>
          <w:tcPr>
            <w:tcW w:w="8051" w:type="dxa"/>
          </w:tcPr>
          <w:p w14:paraId="502EF363" w14:textId="77777777" w:rsidR="0047783A" w:rsidRPr="006A5F84" w:rsidRDefault="00F212C2" w:rsidP="00F85006">
            <w:pPr>
              <w:numPr>
                <w:ilvl w:val="0"/>
                <w:numId w:val="13"/>
              </w:numPr>
              <w:jc w:val="both"/>
              <w:rPr>
                <w:rFonts w:ascii="Times New Roman" w:hAnsi="Times New Roman"/>
                <w:szCs w:val="22"/>
              </w:rPr>
            </w:pPr>
            <w:r>
              <w:rPr>
                <w:rFonts w:ascii="Times New Roman" w:hAnsi="Times New Roman"/>
                <w:szCs w:val="22"/>
              </w:rPr>
              <w:t xml:space="preserve">Soumission </w:t>
            </w:r>
            <w:proofErr w:type="gramStart"/>
            <w:r>
              <w:rPr>
                <w:rFonts w:ascii="Times New Roman" w:hAnsi="Times New Roman"/>
                <w:szCs w:val="22"/>
              </w:rPr>
              <w:t>papier:</w:t>
            </w:r>
            <w:proofErr w:type="gramEnd"/>
            <w:r>
              <w:rPr>
                <w:rFonts w:ascii="Times New Roman" w:hAnsi="Times New Roman"/>
                <w:szCs w:val="22"/>
              </w:rPr>
              <w:t xml:space="preserve"> lors de la séance d’ouverture des offres, le président vérifie que toutes les enveloppes reçues sont disponibles.</w:t>
            </w:r>
          </w:p>
        </w:tc>
        <w:tc>
          <w:tcPr>
            <w:tcW w:w="1247" w:type="dxa"/>
          </w:tcPr>
          <w:p w14:paraId="343C07D0" w14:textId="77777777" w:rsidR="0047783A" w:rsidRPr="006A5F84" w:rsidRDefault="0047783A" w:rsidP="0047783A">
            <w:pPr>
              <w:rPr>
                <w:rFonts w:ascii="Times New Roman" w:hAnsi="Times New Roman"/>
                <w:szCs w:val="22"/>
              </w:rPr>
            </w:pPr>
          </w:p>
        </w:tc>
      </w:tr>
      <w:tr w:rsidR="0047783A" w:rsidRPr="006A5F84" w14:paraId="56F4A7A3" w14:textId="77777777" w:rsidTr="00F70290">
        <w:trPr>
          <w:jc w:val="center"/>
        </w:trPr>
        <w:tc>
          <w:tcPr>
            <w:tcW w:w="8051" w:type="dxa"/>
            <w:shd w:val="pct10" w:color="auto" w:fill="FFFFFF"/>
            <w:vAlign w:val="center"/>
          </w:tcPr>
          <w:p w14:paraId="10414FCD" w14:textId="77777777" w:rsidR="0047783A" w:rsidRPr="006A5F84" w:rsidRDefault="0047783A" w:rsidP="00F70290">
            <w:pPr>
              <w:rPr>
                <w:rFonts w:ascii="Times New Roman" w:hAnsi="Times New Roman"/>
                <w:b/>
                <w:szCs w:val="22"/>
              </w:rPr>
            </w:pPr>
            <w:r>
              <w:rPr>
                <w:rFonts w:ascii="Times New Roman" w:hAnsi="Times New Roman"/>
                <w:b/>
                <w:szCs w:val="22"/>
              </w:rPr>
              <w:t>Séance d’ouverture des offres</w:t>
            </w:r>
          </w:p>
        </w:tc>
        <w:tc>
          <w:tcPr>
            <w:tcW w:w="1247" w:type="dxa"/>
            <w:shd w:val="pct10" w:color="auto" w:fill="FFFFFF"/>
          </w:tcPr>
          <w:p w14:paraId="349F1BA7" w14:textId="77777777" w:rsidR="0047783A" w:rsidRPr="006A5F84" w:rsidRDefault="0047783A">
            <w:pPr>
              <w:spacing w:before="0"/>
              <w:rPr>
                <w:rFonts w:ascii="Times New Roman" w:hAnsi="Times New Roman"/>
                <w:b/>
                <w:i/>
                <w:szCs w:val="22"/>
              </w:rPr>
            </w:pPr>
          </w:p>
        </w:tc>
      </w:tr>
      <w:tr w:rsidR="0047783A" w:rsidRPr="006A5F84" w14:paraId="39FCA716" w14:textId="77777777" w:rsidTr="0047783A">
        <w:trPr>
          <w:jc w:val="center"/>
        </w:trPr>
        <w:tc>
          <w:tcPr>
            <w:tcW w:w="8051" w:type="dxa"/>
          </w:tcPr>
          <w:p w14:paraId="02D00D7B" w14:textId="77777777" w:rsidR="0047783A" w:rsidRDefault="00E31ACE" w:rsidP="00BC1195">
            <w:pPr>
              <w:numPr>
                <w:ilvl w:val="0"/>
                <w:numId w:val="14"/>
              </w:numPr>
              <w:jc w:val="both"/>
              <w:rPr>
                <w:rFonts w:ascii="Times New Roman" w:hAnsi="Times New Roman"/>
                <w:szCs w:val="22"/>
              </w:rPr>
            </w:pPr>
            <w:r>
              <w:rPr>
                <w:rFonts w:ascii="Times New Roman" w:hAnsi="Times New Roman"/>
                <w:szCs w:val="22"/>
              </w:rPr>
              <w:t xml:space="preserve">Uniquement en cas de séance présentielle (c’est-à-dire nécessitant une présence physique), les représentants des soumissionnaires qui participent à la séance d’ouverture doivent signer la liste de présence (annexée au </w:t>
            </w:r>
            <w:r w:rsidR="00BC1195" w:rsidRPr="00BC1195">
              <w:rPr>
                <w:rFonts w:ascii="Times New Roman" w:hAnsi="Times New Roman"/>
                <w:szCs w:val="22"/>
              </w:rPr>
              <w:t>procès-verbal</w:t>
            </w:r>
            <w:r>
              <w:rPr>
                <w:rFonts w:ascii="Times New Roman" w:hAnsi="Times New Roman"/>
                <w:szCs w:val="22"/>
              </w:rPr>
              <w:t xml:space="preserve"> d’ouverture des offres, annexe C6). Si la séance d’ouverture des offres est organisée en ligne, la liste de présence doit être établie et signée par le secrétaire après vérification des coordonnées des représentants connectés (par exemple en discussion) et en incluant toujours les adresses électroniques, pour le cas où une correspondance ultérieure serait nécessaire (par exemple, en cas de discordance entre les informations sur le prix figurant dans e-</w:t>
            </w:r>
            <w:proofErr w:type="spellStart"/>
            <w:r>
              <w:rPr>
                <w:rFonts w:ascii="Times New Roman" w:hAnsi="Times New Roman"/>
                <w:szCs w:val="22"/>
              </w:rPr>
              <w:t>Submission</w:t>
            </w:r>
            <w:proofErr w:type="spellEnd"/>
            <w:r>
              <w:rPr>
                <w:rFonts w:ascii="Times New Roman" w:hAnsi="Times New Roman"/>
                <w:szCs w:val="22"/>
              </w:rPr>
              <w:t xml:space="preserve"> et l’offre financière). </w:t>
            </w:r>
          </w:p>
          <w:p w14:paraId="02A1E56E" w14:textId="77777777" w:rsidR="00882C0C" w:rsidRPr="006A5F84" w:rsidRDefault="00882C0C" w:rsidP="006C172A">
            <w:pPr>
              <w:ind w:left="360"/>
              <w:jc w:val="both"/>
              <w:rPr>
                <w:rFonts w:ascii="Times New Roman" w:hAnsi="Times New Roman"/>
                <w:szCs w:val="22"/>
              </w:rPr>
            </w:pPr>
            <w:r>
              <w:rPr>
                <w:rFonts w:ascii="Times New Roman" w:hAnsi="Times New Roman"/>
                <w:szCs w:val="22"/>
              </w:rPr>
              <w:t>Soumission électronique (gestion directe</w:t>
            </w:r>
            <w:proofErr w:type="gramStart"/>
            <w:r>
              <w:rPr>
                <w:rFonts w:ascii="Times New Roman" w:hAnsi="Times New Roman"/>
                <w:szCs w:val="22"/>
              </w:rPr>
              <w:t>):</w:t>
            </w:r>
            <w:proofErr w:type="gramEnd"/>
            <w:r>
              <w:rPr>
                <w:rFonts w:ascii="Times New Roman" w:hAnsi="Times New Roman"/>
                <w:szCs w:val="22"/>
              </w:rPr>
              <w:t xml:space="preserve"> la liste de présence de l’annexe C6 doit être jointe au </w:t>
            </w:r>
            <w:r w:rsidR="00BC1195" w:rsidRPr="00BC1195">
              <w:rPr>
                <w:rFonts w:ascii="Times New Roman" w:hAnsi="Times New Roman"/>
                <w:szCs w:val="22"/>
              </w:rPr>
              <w:t>procès-verbal</w:t>
            </w:r>
            <w:r>
              <w:rPr>
                <w:rFonts w:ascii="Times New Roman" w:hAnsi="Times New Roman"/>
                <w:szCs w:val="22"/>
              </w:rPr>
              <w:t xml:space="preserve"> d’ouverture extrait à partir de l’application e-</w:t>
            </w:r>
            <w:proofErr w:type="spellStart"/>
            <w:r>
              <w:rPr>
                <w:rFonts w:ascii="Times New Roman" w:hAnsi="Times New Roman"/>
                <w:szCs w:val="22"/>
              </w:rPr>
              <w:t>Submission</w:t>
            </w:r>
            <w:proofErr w:type="spellEnd"/>
            <w:r>
              <w:rPr>
                <w:rFonts w:ascii="Times New Roman" w:hAnsi="Times New Roman"/>
                <w:szCs w:val="22"/>
              </w:rPr>
              <w:t>.</w:t>
            </w:r>
          </w:p>
        </w:tc>
        <w:tc>
          <w:tcPr>
            <w:tcW w:w="1247" w:type="dxa"/>
          </w:tcPr>
          <w:p w14:paraId="17EB53DB" w14:textId="77777777" w:rsidR="0047783A" w:rsidRPr="006A5F84" w:rsidRDefault="0047783A">
            <w:pPr>
              <w:rPr>
                <w:rFonts w:ascii="Times New Roman" w:hAnsi="Times New Roman"/>
                <w:szCs w:val="22"/>
              </w:rPr>
            </w:pPr>
          </w:p>
        </w:tc>
      </w:tr>
      <w:tr w:rsidR="0047783A" w:rsidRPr="006A5F84" w14:paraId="5AF0DC08" w14:textId="77777777" w:rsidTr="0047783A">
        <w:trPr>
          <w:jc w:val="center"/>
        </w:trPr>
        <w:tc>
          <w:tcPr>
            <w:tcW w:w="8051" w:type="dxa"/>
          </w:tcPr>
          <w:p w14:paraId="2CA2C17E" w14:textId="77777777" w:rsidR="0047783A" w:rsidRPr="006A5F84" w:rsidRDefault="00E31ACE">
            <w:pPr>
              <w:numPr>
                <w:ilvl w:val="0"/>
                <w:numId w:val="14"/>
              </w:numPr>
              <w:jc w:val="both"/>
              <w:rPr>
                <w:rFonts w:ascii="Times New Roman" w:hAnsi="Times New Roman"/>
                <w:szCs w:val="22"/>
              </w:rPr>
            </w:pPr>
            <w:r>
              <w:rPr>
                <w:rFonts w:ascii="Times New Roman" w:hAnsi="Times New Roman"/>
                <w:szCs w:val="22"/>
              </w:rPr>
              <w:t xml:space="preserve">Soumission </w:t>
            </w:r>
            <w:proofErr w:type="gramStart"/>
            <w:r>
              <w:rPr>
                <w:rFonts w:ascii="Times New Roman" w:hAnsi="Times New Roman"/>
                <w:szCs w:val="22"/>
              </w:rPr>
              <w:t>papier:</w:t>
            </w:r>
            <w:proofErr w:type="gramEnd"/>
            <w:r>
              <w:rPr>
                <w:rFonts w:ascii="Times New Roman" w:hAnsi="Times New Roman"/>
                <w:sz w:val="22"/>
                <w:szCs w:val="22"/>
              </w:rPr>
              <w:t xml:space="preserve"> </w:t>
            </w:r>
            <w:r>
              <w:rPr>
                <w:rFonts w:ascii="Times New Roman" w:hAnsi="Times New Roman"/>
                <w:szCs w:val="22"/>
              </w:rPr>
              <w:t>toutes les enveloppes contenant les offres sont remises au président.</w:t>
            </w:r>
          </w:p>
        </w:tc>
        <w:tc>
          <w:tcPr>
            <w:tcW w:w="1247" w:type="dxa"/>
          </w:tcPr>
          <w:p w14:paraId="7AE5BF82" w14:textId="77777777" w:rsidR="0047783A" w:rsidRPr="006A5F84" w:rsidRDefault="0047783A">
            <w:pPr>
              <w:rPr>
                <w:rFonts w:ascii="Times New Roman" w:hAnsi="Times New Roman"/>
                <w:szCs w:val="22"/>
              </w:rPr>
            </w:pPr>
          </w:p>
        </w:tc>
      </w:tr>
      <w:tr w:rsidR="0047783A" w:rsidRPr="006A5F84" w14:paraId="4C0DE726" w14:textId="77777777" w:rsidTr="0047783A">
        <w:trPr>
          <w:jc w:val="center"/>
        </w:trPr>
        <w:tc>
          <w:tcPr>
            <w:tcW w:w="8051" w:type="dxa"/>
          </w:tcPr>
          <w:p w14:paraId="6535F7D8" w14:textId="77777777" w:rsidR="0047783A" w:rsidRPr="006A5F84" w:rsidRDefault="00E31ACE">
            <w:pPr>
              <w:numPr>
                <w:ilvl w:val="0"/>
                <w:numId w:val="14"/>
              </w:numPr>
              <w:jc w:val="both"/>
              <w:rPr>
                <w:rFonts w:ascii="Times New Roman" w:hAnsi="Times New Roman"/>
                <w:szCs w:val="22"/>
              </w:rPr>
            </w:pPr>
            <w:r>
              <w:rPr>
                <w:rFonts w:ascii="Times New Roman" w:hAnsi="Times New Roman"/>
                <w:szCs w:val="22"/>
              </w:rPr>
              <w:t xml:space="preserve">Soumission </w:t>
            </w:r>
            <w:proofErr w:type="gramStart"/>
            <w:r>
              <w:rPr>
                <w:rFonts w:ascii="Times New Roman" w:hAnsi="Times New Roman"/>
                <w:szCs w:val="22"/>
              </w:rPr>
              <w:t>papier:</w:t>
            </w:r>
            <w:proofErr w:type="gramEnd"/>
            <w:r>
              <w:rPr>
                <w:rFonts w:ascii="Times New Roman" w:hAnsi="Times New Roman"/>
                <w:sz w:val="22"/>
                <w:szCs w:val="22"/>
              </w:rPr>
              <w:t xml:space="preserve"> </w:t>
            </w:r>
            <w:r>
              <w:rPr>
                <w:rFonts w:ascii="Times New Roman" w:hAnsi="Times New Roman"/>
                <w:szCs w:val="22"/>
              </w:rPr>
              <w:t>le président et le secrétaire vérifient que toutes les enveloppes sont scellées et en bon état.</w:t>
            </w:r>
          </w:p>
        </w:tc>
        <w:tc>
          <w:tcPr>
            <w:tcW w:w="1247" w:type="dxa"/>
          </w:tcPr>
          <w:p w14:paraId="62720A9C" w14:textId="77777777" w:rsidR="0047783A" w:rsidRPr="006A5F84" w:rsidRDefault="0047783A">
            <w:pPr>
              <w:rPr>
                <w:rFonts w:ascii="Times New Roman" w:hAnsi="Times New Roman"/>
                <w:szCs w:val="22"/>
              </w:rPr>
            </w:pPr>
          </w:p>
        </w:tc>
      </w:tr>
      <w:tr w:rsidR="0047783A" w:rsidRPr="006A5F84" w14:paraId="1275810C" w14:textId="77777777" w:rsidTr="0047783A">
        <w:trPr>
          <w:jc w:val="center"/>
        </w:trPr>
        <w:tc>
          <w:tcPr>
            <w:tcW w:w="8051" w:type="dxa"/>
          </w:tcPr>
          <w:p w14:paraId="4C698CE6" w14:textId="77777777" w:rsidR="00C17757" w:rsidRDefault="00E31ACE" w:rsidP="00C17757">
            <w:pPr>
              <w:numPr>
                <w:ilvl w:val="0"/>
                <w:numId w:val="14"/>
              </w:numPr>
              <w:jc w:val="both"/>
              <w:rPr>
                <w:rFonts w:ascii="Times New Roman" w:hAnsi="Times New Roman"/>
                <w:szCs w:val="22"/>
              </w:rPr>
            </w:pPr>
            <w:r>
              <w:rPr>
                <w:rFonts w:ascii="Times New Roman" w:hAnsi="Times New Roman"/>
                <w:szCs w:val="22"/>
              </w:rPr>
              <w:t xml:space="preserve">Soumission </w:t>
            </w:r>
            <w:proofErr w:type="gramStart"/>
            <w:r>
              <w:rPr>
                <w:rFonts w:ascii="Times New Roman" w:hAnsi="Times New Roman"/>
                <w:szCs w:val="22"/>
              </w:rPr>
              <w:t>papier:</w:t>
            </w:r>
            <w:proofErr w:type="gramEnd"/>
            <w:r>
              <w:rPr>
                <w:rFonts w:ascii="Times New Roman" w:hAnsi="Times New Roman"/>
                <w:sz w:val="22"/>
                <w:szCs w:val="22"/>
              </w:rPr>
              <w:t xml:space="preserve"> </w:t>
            </w:r>
            <w:r>
              <w:rPr>
                <w:rFonts w:ascii="Times New Roman" w:hAnsi="Times New Roman"/>
                <w:szCs w:val="22"/>
              </w:rPr>
              <w:t>le président et le secrétaire ouvrent les enveloppes dans l’ordre de réception. Ils notent le numéro de l’enveloppe contenant l’offre sur la première page de chaque document. Le président et le secrétaire paraphent la première page de tous les documents originaux et toutes les pages de l’offre financière originale. Seules les enveloppes reçues avant la date limite de soumission sont ouvertes.</w:t>
            </w:r>
          </w:p>
          <w:p w14:paraId="084F2335" w14:textId="77777777" w:rsidR="00E31ACE" w:rsidRPr="006C172A" w:rsidRDefault="00E31ACE" w:rsidP="006C172A">
            <w:pPr>
              <w:ind w:left="360"/>
              <w:jc w:val="both"/>
              <w:rPr>
                <w:rFonts w:ascii="Times New Roman" w:hAnsi="Times New Roman"/>
              </w:rPr>
            </w:pPr>
            <w:r>
              <w:rPr>
                <w:rFonts w:ascii="Times New Roman" w:hAnsi="Times New Roman"/>
                <w:szCs w:val="22"/>
              </w:rPr>
              <w:t xml:space="preserve">Soumission </w:t>
            </w:r>
            <w:proofErr w:type="gramStart"/>
            <w:r>
              <w:rPr>
                <w:rFonts w:ascii="Times New Roman" w:hAnsi="Times New Roman"/>
                <w:szCs w:val="22"/>
              </w:rPr>
              <w:t>électronique:</w:t>
            </w:r>
            <w:proofErr w:type="gramEnd"/>
            <w:r>
              <w:rPr>
                <w:rFonts w:ascii="Times New Roman" w:hAnsi="Times New Roman"/>
                <w:szCs w:val="22"/>
              </w:rPr>
              <w:t xml:space="preserve"> </w:t>
            </w:r>
            <w:r>
              <w:rPr>
                <w:rFonts w:ascii="Times New Roman" w:hAnsi="Times New Roman"/>
              </w:rPr>
              <w:t xml:space="preserve">la séance d’ouverture aura lieu sur </w:t>
            </w:r>
            <w:proofErr w:type="spellStart"/>
            <w:r>
              <w:rPr>
                <w:rFonts w:ascii="Times New Roman" w:hAnsi="Times New Roman"/>
              </w:rPr>
              <w:t>MyWorkplace</w:t>
            </w:r>
            <w:proofErr w:type="spellEnd"/>
            <w:r>
              <w:rPr>
                <w:rFonts w:ascii="Times New Roman" w:hAnsi="Times New Roman"/>
              </w:rPr>
              <w:t xml:space="preserve">. Une fois nommés dans le PPMT, les membres de la commission d’ouverture ont accès à la tâche d’ouverture sur </w:t>
            </w:r>
            <w:proofErr w:type="spellStart"/>
            <w:r>
              <w:rPr>
                <w:rFonts w:ascii="Times New Roman" w:hAnsi="Times New Roman"/>
              </w:rPr>
              <w:t>MyWorkplace</w:t>
            </w:r>
            <w:proofErr w:type="spellEnd"/>
            <w:r>
              <w:rPr>
                <w:rFonts w:ascii="Times New Roman" w:hAnsi="Times New Roman"/>
              </w:rPr>
              <w:t>. Dès la séance d’ouverture, le système répertorie automatiquement toutes les offres jugées conformes.</w:t>
            </w:r>
          </w:p>
        </w:tc>
        <w:tc>
          <w:tcPr>
            <w:tcW w:w="1247" w:type="dxa"/>
          </w:tcPr>
          <w:p w14:paraId="5F065EF3" w14:textId="77777777" w:rsidR="0047783A" w:rsidRPr="006A5F84" w:rsidRDefault="0047783A">
            <w:pPr>
              <w:rPr>
                <w:rFonts w:ascii="Times New Roman" w:hAnsi="Times New Roman"/>
                <w:szCs w:val="22"/>
              </w:rPr>
            </w:pPr>
          </w:p>
        </w:tc>
      </w:tr>
      <w:tr w:rsidR="0047783A" w:rsidRPr="006A5F84" w14:paraId="1ACB3C2D" w14:textId="77777777" w:rsidTr="0047783A">
        <w:trPr>
          <w:jc w:val="center"/>
        </w:trPr>
        <w:tc>
          <w:tcPr>
            <w:tcW w:w="8051" w:type="dxa"/>
          </w:tcPr>
          <w:p w14:paraId="40E46AFF" w14:textId="77777777" w:rsidR="0047783A" w:rsidRPr="00C17757" w:rsidRDefault="00C17757" w:rsidP="006C172A">
            <w:pPr>
              <w:ind w:left="434"/>
              <w:jc w:val="both"/>
              <w:rPr>
                <w:rFonts w:ascii="Times New Roman" w:hAnsi="Times New Roman"/>
                <w:szCs w:val="22"/>
              </w:rPr>
            </w:pPr>
            <w:r>
              <w:rPr>
                <w:rFonts w:ascii="Times New Roman" w:hAnsi="Times New Roman"/>
                <w:szCs w:val="22"/>
              </w:rPr>
              <w:t xml:space="preserve">Soumission </w:t>
            </w:r>
            <w:proofErr w:type="gramStart"/>
            <w:r>
              <w:rPr>
                <w:rFonts w:ascii="Times New Roman" w:hAnsi="Times New Roman"/>
                <w:szCs w:val="22"/>
              </w:rPr>
              <w:t>papier:</w:t>
            </w:r>
            <w:proofErr w:type="gramEnd"/>
            <w:r>
              <w:rPr>
                <w:rFonts w:ascii="Times New Roman" w:hAnsi="Times New Roman"/>
                <w:szCs w:val="22"/>
              </w:rPr>
              <w:t xml:space="preserve"> pour chaque enveloppe, le président et le secrétaire vérifient à haute voix que sont correctement consignés dans le récapitulatif des offres </w:t>
            </w:r>
            <w:proofErr w:type="gramStart"/>
            <w:r>
              <w:rPr>
                <w:rFonts w:ascii="Times New Roman" w:hAnsi="Times New Roman"/>
                <w:szCs w:val="22"/>
              </w:rPr>
              <w:t>reçues:</w:t>
            </w:r>
            <w:proofErr w:type="gramEnd"/>
          </w:p>
          <w:p w14:paraId="15E996F9" w14:textId="77777777" w:rsidR="0047783A" w:rsidRPr="006A5F84" w:rsidRDefault="0047783A" w:rsidP="00C17757">
            <w:pPr>
              <w:numPr>
                <w:ilvl w:val="0"/>
                <w:numId w:val="12"/>
              </w:numPr>
              <w:tabs>
                <w:tab w:val="left" w:pos="851"/>
              </w:tabs>
              <w:spacing w:after="0"/>
              <w:jc w:val="both"/>
              <w:rPr>
                <w:rFonts w:ascii="Times New Roman" w:hAnsi="Times New Roman"/>
                <w:szCs w:val="22"/>
              </w:rPr>
            </w:pPr>
            <w:proofErr w:type="gramStart"/>
            <w:r>
              <w:rPr>
                <w:rFonts w:ascii="Times New Roman" w:hAnsi="Times New Roman"/>
                <w:szCs w:val="22"/>
              </w:rPr>
              <w:t>le</w:t>
            </w:r>
            <w:proofErr w:type="gramEnd"/>
            <w:r>
              <w:rPr>
                <w:rFonts w:ascii="Times New Roman" w:hAnsi="Times New Roman"/>
                <w:szCs w:val="22"/>
              </w:rPr>
              <w:t xml:space="preserve"> numéro d’enregistrement indiqué sur l’enveloppe,</w:t>
            </w:r>
          </w:p>
          <w:p w14:paraId="3D519C3C" w14:textId="77777777" w:rsidR="0047783A" w:rsidRPr="006A5F84" w:rsidRDefault="0047783A" w:rsidP="00C17757">
            <w:pPr>
              <w:numPr>
                <w:ilvl w:val="0"/>
                <w:numId w:val="12"/>
              </w:numPr>
              <w:tabs>
                <w:tab w:val="left" w:pos="851"/>
              </w:tabs>
              <w:spacing w:after="0"/>
              <w:jc w:val="both"/>
              <w:rPr>
                <w:rFonts w:ascii="Times New Roman" w:hAnsi="Times New Roman"/>
                <w:szCs w:val="22"/>
              </w:rPr>
            </w:pPr>
            <w:proofErr w:type="gramStart"/>
            <w:r>
              <w:rPr>
                <w:rFonts w:ascii="Times New Roman" w:hAnsi="Times New Roman"/>
                <w:szCs w:val="22"/>
              </w:rPr>
              <w:t>le</w:t>
            </w:r>
            <w:proofErr w:type="gramEnd"/>
            <w:r>
              <w:rPr>
                <w:rFonts w:ascii="Times New Roman" w:hAnsi="Times New Roman"/>
                <w:szCs w:val="22"/>
              </w:rPr>
              <w:t xml:space="preserve"> nom du soumissionnaire,</w:t>
            </w:r>
          </w:p>
          <w:p w14:paraId="7EE37219" w14:textId="77777777" w:rsidR="0047783A" w:rsidRPr="006A5F84" w:rsidRDefault="0047783A" w:rsidP="00C17757">
            <w:pPr>
              <w:numPr>
                <w:ilvl w:val="0"/>
                <w:numId w:val="12"/>
              </w:numPr>
              <w:tabs>
                <w:tab w:val="left" w:pos="851"/>
              </w:tabs>
              <w:spacing w:after="0"/>
              <w:jc w:val="both"/>
              <w:rPr>
                <w:rFonts w:ascii="Times New Roman" w:hAnsi="Times New Roman"/>
                <w:szCs w:val="22"/>
              </w:rPr>
            </w:pPr>
            <w:proofErr w:type="gramStart"/>
            <w:r>
              <w:rPr>
                <w:rFonts w:ascii="Times New Roman" w:hAnsi="Times New Roman"/>
                <w:szCs w:val="22"/>
              </w:rPr>
              <w:lastRenderedPageBreak/>
              <w:t>la</w:t>
            </w:r>
            <w:proofErr w:type="gramEnd"/>
            <w:r>
              <w:rPr>
                <w:rFonts w:ascii="Times New Roman" w:hAnsi="Times New Roman"/>
                <w:szCs w:val="22"/>
              </w:rPr>
              <w:t xml:space="preserve"> date d’envoi (ainsi que l’heure, pour toute enveloppe remise en main propre le dernier jour de soumission des offres</w:t>
            </w:r>
            <w:proofErr w:type="gramStart"/>
            <w:r>
              <w:rPr>
                <w:rFonts w:ascii="Times New Roman" w:hAnsi="Times New Roman"/>
                <w:szCs w:val="22"/>
              </w:rPr>
              <w:t>);</w:t>
            </w:r>
            <w:proofErr w:type="gramEnd"/>
          </w:p>
          <w:p w14:paraId="769D3425" w14:textId="77777777" w:rsidR="0047783A" w:rsidRPr="006A5F84" w:rsidRDefault="0047783A" w:rsidP="00C17757">
            <w:pPr>
              <w:numPr>
                <w:ilvl w:val="0"/>
                <w:numId w:val="12"/>
              </w:numPr>
              <w:tabs>
                <w:tab w:val="left" w:pos="851"/>
              </w:tabs>
              <w:spacing w:after="0"/>
              <w:jc w:val="both"/>
              <w:rPr>
                <w:rFonts w:ascii="Times New Roman" w:hAnsi="Times New Roman"/>
                <w:szCs w:val="22"/>
              </w:rPr>
            </w:pPr>
            <w:proofErr w:type="gramStart"/>
            <w:r>
              <w:rPr>
                <w:rFonts w:ascii="Times New Roman" w:hAnsi="Times New Roman"/>
                <w:szCs w:val="22"/>
              </w:rPr>
              <w:t>l’état</w:t>
            </w:r>
            <w:proofErr w:type="gramEnd"/>
            <w:r>
              <w:rPr>
                <w:rFonts w:ascii="Times New Roman" w:hAnsi="Times New Roman"/>
                <w:szCs w:val="22"/>
              </w:rPr>
              <w:t xml:space="preserve"> de l’enveloppe extérieure,</w:t>
            </w:r>
          </w:p>
          <w:p w14:paraId="07E67471" w14:textId="77777777" w:rsidR="0047783A" w:rsidRPr="006A5F84" w:rsidRDefault="0047783A" w:rsidP="00C17757">
            <w:pPr>
              <w:numPr>
                <w:ilvl w:val="0"/>
                <w:numId w:val="12"/>
              </w:numPr>
              <w:tabs>
                <w:tab w:val="left" w:pos="851"/>
              </w:tabs>
              <w:spacing w:after="0"/>
              <w:jc w:val="both"/>
              <w:rPr>
                <w:rFonts w:ascii="Times New Roman" w:hAnsi="Times New Roman"/>
                <w:szCs w:val="22"/>
              </w:rPr>
            </w:pPr>
            <w:proofErr w:type="gramStart"/>
            <w:r>
              <w:rPr>
                <w:rFonts w:ascii="Times New Roman" w:hAnsi="Times New Roman"/>
                <w:szCs w:val="22"/>
              </w:rPr>
              <w:t>le</w:t>
            </w:r>
            <w:proofErr w:type="gramEnd"/>
            <w:r>
              <w:rPr>
                <w:rFonts w:ascii="Times New Roman" w:hAnsi="Times New Roman"/>
                <w:szCs w:val="22"/>
              </w:rPr>
              <w:t xml:space="preserve"> fait que le soumissionnaire a inclus ou non un bordereau de soumission pour un marché de fournitures,</w:t>
            </w:r>
          </w:p>
          <w:p w14:paraId="2F0DD66A" w14:textId="77777777" w:rsidR="000C27F3" w:rsidRDefault="0047783A" w:rsidP="00C17757">
            <w:pPr>
              <w:numPr>
                <w:ilvl w:val="0"/>
                <w:numId w:val="12"/>
              </w:numPr>
              <w:tabs>
                <w:tab w:val="left" w:pos="851"/>
              </w:tabs>
              <w:spacing w:after="0"/>
              <w:jc w:val="both"/>
              <w:rPr>
                <w:rFonts w:ascii="Times New Roman" w:hAnsi="Times New Roman"/>
                <w:szCs w:val="22"/>
              </w:rPr>
            </w:pPr>
            <w:proofErr w:type="gramStart"/>
            <w:r>
              <w:rPr>
                <w:rFonts w:ascii="Times New Roman" w:hAnsi="Times New Roman"/>
                <w:szCs w:val="22"/>
              </w:rPr>
              <w:t>le</w:t>
            </w:r>
            <w:proofErr w:type="gramEnd"/>
            <w:r>
              <w:rPr>
                <w:rFonts w:ascii="Times New Roman" w:hAnsi="Times New Roman"/>
                <w:szCs w:val="22"/>
              </w:rPr>
              <w:t xml:space="preserve"> montant total de l’offre financière et les éventuelles remises applicables (libellé exactement conforme au bordereau de soumission), </w:t>
            </w:r>
          </w:p>
          <w:p w14:paraId="40E75F4C" w14:textId="77777777" w:rsidR="0047783A" w:rsidRPr="004B6032" w:rsidRDefault="000C27F3" w:rsidP="00C17757">
            <w:pPr>
              <w:numPr>
                <w:ilvl w:val="0"/>
                <w:numId w:val="12"/>
              </w:numPr>
              <w:tabs>
                <w:tab w:val="left" w:pos="851"/>
              </w:tabs>
              <w:spacing w:after="0"/>
              <w:jc w:val="both"/>
              <w:rPr>
                <w:rFonts w:ascii="Times New Roman" w:hAnsi="Times New Roman"/>
                <w:szCs w:val="22"/>
              </w:rPr>
            </w:pPr>
            <w:proofErr w:type="gramStart"/>
            <w:r>
              <w:rPr>
                <w:rFonts w:ascii="Times New Roman" w:hAnsi="Times New Roman"/>
              </w:rPr>
              <w:t>la</w:t>
            </w:r>
            <w:proofErr w:type="gramEnd"/>
            <w:r>
              <w:rPr>
                <w:rFonts w:ascii="Times New Roman" w:hAnsi="Times New Roman"/>
              </w:rPr>
              <w:t xml:space="preserve"> ventilation du coût des produits et de tout autre montant qui n’est pas directement lié à la valeur intrinsèque des produits en question,</w:t>
            </w:r>
          </w:p>
          <w:p w14:paraId="073FC8B2" w14:textId="77777777" w:rsidR="0047783A" w:rsidRPr="006A5F84" w:rsidRDefault="0047783A" w:rsidP="00C17757">
            <w:pPr>
              <w:numPr>
                <w:ilvl w:val="0"/>
                <w:numId w:val="12"/>
              </w:numPr>
              <w:tabs>
                <w:tab w:val="left" w:pos="851"/>
              </w:tabs>
              <w:spacing w:after="0"/>
              <w:jc w:val="both"/>
              <w:rPr>
                <w:rFonts w:ascii="Times New Roman" w:hAnsi="Times New Roman"/>
                <w:szCs w:val="22"/>
              </w:rPr>
            </w:pPr>
            <w:proofErr w:type="gramStart"/>
            <w:r>
              <w:rPr>
                <w:rFonts w:ascii="Times New Roman" w:hAnsi="Times New Roman"/>
                <w:szCs w:val="22"/>
              </w:rPr>
              <w:t>le</w:t>
            </w:r>
            <w:proofErr w:type="gramEnd"/>
            <w:r>
              <w:rPr>
                <w:rFonts w:ascii="Times New Roman" w:hAnsi="Times New Roman"/>
                <w:szCs w:val="22"/>
              </w:rPr>
              <w:t xml:space="preserve"> fait qu’une garantie de soumission a été fournie ou non, si elle était demandée,</w:t>
            </w:r>
          </w:p>
          <w:p w14:paraId="3502FF39" w14:textId="77777777" w:rsidR="00C17757" w:rsidRDefault="0047783A" w:rsidP="00C17757">
            <w:pPr>
              <w:numPr>
                <w:ilvl w:val="0"/>
                <w:numId w:val="12"/>
              </w:numPr>
              <w:tabs>
                <w:tab w:val="left" w:pos="851"/>
              </w:tabs>
              <w:jc w:val="both"/>
              <w:rPr>
                <w:rFonts w:ascii="Times New Roman" w:hAnsi="Times New Roman"/>
                <w:szCs w:val="22"/>
              </w:rPr>
            </w:pPr>
            <w:proofErr w:type="gramStart"/>
            <w:r>
              <w:rPr>
                <w:rFonts w:ascii="Times New Roman" w:hAnsi="Times New Roman"/>
                <w:szCs w:val="22"/>
              </w:rPr>
              <w:t>la</w:t>
            </w:r>
            <w:proofErr w:type="gramEnd"/>
            <w:r>
              <w:rPr>
                <w:rFonts w:ascii="Times New Roman" w:hAnsi="Times New Roman"/>
                <w:szCs w:val="22"/>
              </w:rPr>
              <w:t xml:space="preserve"> décision globale quant à l’admissibilité de l’offre à l’étape suivante de l’évaluation.</w:t>
            </w:r>
          </w:p>
          <w:p w14:paraId="4F060E24" w14:textId="77777777" w:rsidR="00C17757" w:rsidRPr="00C17757" w:rsidRDefault="00C17757" w:rsidP="006C172A">
            <w:pPr>
              <w:pStyle w:val="Text1"/>
              <w:ind w:left="360"/>
            </w:pPr>
            <w:r>
              <w:rPr>
                <w:sz w:val="20"/>
                <w:szCs w:val="20"/>
              </w:rPr>
              <w:t xml:space="preserve">Soumission </w:t>
            </w:r>
            <w:proofErr w:type="gramStart"/>
            <w:r>
              <w:rPr>
                <w:sz w:val="20"/>
                <w:szCs w:val="20"/>
              </w:rPr>
              <w:t>électronique:</w:t>
            </w:r>
            <w:proofErr w:type="gramEnd"/>
            <w:r>
              <w:rPr>
                <w:sz w:val="20"/>
                <w:szCs w:val="20"/>
              </w:rPr>
              <w:t xml:space="preserve"> le système répertorie automatiquement toutes les offres jugées conformes dès la séance d’ouverture. Le président et le secrétaire doivent vérifier le montant total de l’offre financière totale et les éventuelles remises applicables et l’annoncer aux représentants des soumissionnaires. Si, par la suite, le comité d’évaluation découvre une discordance entre le montant total de l’offre inscrit dans le champ</w:t>
            </w:r>
            <w:proofErr w:type="gramStart"/>
            <w:r>
              <w:rPr>
                <w:sz w:val="20"/>
                <w:szCs w:val="20"/>
              </w:rPr>
              <w:t xml:space="preserve"> «Montant</w:t>
            </w:r>
            <w:proofErr w:type="gramEnd"/>
            <w:r>
              <w:rPr>
                <w:sz w:val="20"/>
                <w:szCs w:val="20"/>
              </w:rPr>
              <w:t xml:space="preserve"> total hors </w:t>
            </w:r>
            <w:proofErr w:type="gramStart"/>
            <w:r>
              <w:rPr>
                <w:sz w:val="20"/>
                <w:szCs w:val="20"/>
              </w:rPr>
              <w:t>taxes»</w:t>
            </w:r>
            <w:proofErr w:type="gramEnd"/>
            <w:r>
              <w:rPr>
                <w:sz w:val="20"/>
                <w:szCs w:val="20"/>
              </w:rPr>
              <w:t xml:space="preserve"> de l’application e-</w:t>
            </w:r>
            <w:proofErr w:type="spellStart"/>
            <w:r>
              <w:rPr>
                <w:sz w:val="20"/>
                <w:szCs w:val="20"/>
              </w:rPr>
              <w:t>Submission</w:t>
            </w:r>
            <w:proofErr w:type="spellEnd"/>
            <w:r>
              <w:rPr>
                <w:sz w:val="20"/>
                <w:szCs w:val="20"/>
              </w:rPr>
              <w:t xml:space="preserve"> et le montant indiqué dans l’offre financière téléchargée, seul le montant indiqué dans l’offre financière sera pris en compte. Les soumissionnaires seront informés par courrier électronique de la discordance constatée par le comité d’évaluation</w:t>
            </w:r>
            <w:r>
              <w:t xml:space="preserve">. </w:t>
            </w:r>
          </w:p>
        </w:tc>
        <w:tc>
          <w:tcPr>
            <w:tcW w:w="1247" w:type="dxa"/>
          </w:tcPr>
          <w:p w14:paraId="36594C27" w14:textId="77777777" w:rsidR="0047783A" w:rsidRPr="006A5F84" w:rsidRDefault="0047783A">
            <w:pPr>
              <w:rPr>
                <w:rFonts w:ascii="Times New Roman" w:hAnsi="Times New Roman"/>
                <w:szCs w:val="22"/>
              </w:rPr>
            </w:pPr>
          </w:p>
        </w:tc>
      </w:tr>
      <w:tr w:rsidR="0047783A" w:rsidRPr="006A5F84" w14:paraId="7AEF2614" w14:textId="77777777" w:rsidTr="0047783A">
        <w:trPr>
          <w:jc w:val="center"/>
        </w:trPr>
        <w:tc>
          <w:tcPr>
            <w:tcW w:w="8051" w:type="dxa"/>
          </w:tcPr>
          <w:p w14:paraId="01D0532F" w14:textId="77777777" w:rsidR="00D363B8" w:rsidRDefault="00D363B8" w:rsidP="003A38B1">
            <w:pPr>
              <w:numPr>
                <w:ilvl w:val="0"/>
                <w:numId w:val="14"/>
              </w:numPr>
              <w:jc w:val="both"/>
              <w:rPr>
                <w:rFonts w:ascii="Times New Roman" w:hAnsi="Times New Roman"/>
                <w:szCs w:val="22"/>
              </w:rPr>
            </w:pPr>
            <w:r>
              <w:rPr>
                <w:rFonts w:ascii="Times New Roman" w:hAnsi="Times New Roman"/>
                <w:szCs w:val="22"/>
              </w:rPr>
              <w:t xml:space="preserve">Le président rappelle ce qui suit aux membres du </w:t>
            </w:r>
            <w:proofErr w:type="gramStart"/>
            <w:r>
              <w:rPr>
                <w:rFonts w:ascii="Times New Roman" w:hAnsi="Times New Roman"/>
                <w:szCs w:val="22"/>
              </w:rPr>
              <w:t>comité:</w:t>
            </w:r>
            <w:proofErr w:type="gramEnd"/>
          </w:p>
          <w:p w14:paraId="3013D478" w14:textId="77777777" w:rsidR="00D363B8" w:rsidRPr="009B34E8" w:rsidRDefault="00D363B8" w:rsidP="00B45635">
            <w:pPr>
              <w:ind w:left="360"/>
              <w:jc w:val="both"/>
              <w:rPr>
                <w:rFonts w:ascii="Times New Roman" w:hAnsi="Times New Roman"/>
                <w:i/>
                <w:szCs w:val="22"/>
              </w:rPr>
            </w:pPr>
            <w:r>
              <w:rPr>
                <w:rFonts w:ascii="Times New Roman" w:hAnsi="Times New Roman"/>
                <w:i/>
                <w:szCs w:val="22"/>
              </w:rPr>
              <w:t xml:space="preserve">Les participants à la présente évaluation qui, pour une raison ou une autre, pourraient se trouver en situation de conflit d’intérêts, direct ou indirect, réel ou potentiel, doivent se faire connaître et se retirer de la procédure. </w:t>
            </w:r>
          </w:p>
          <w:p w14:paraId="03CAC163" w14:textId="77777777" w:rsidR="00D363B8" w:rsidRDefault="00D363B8" w:rsidP="00B45635">
            <w:pPr>
              <w:ind w:left="360"/>
              <w:jc w:val="both"/>
              <w:rPr>
                <w:rFonts w:ascii="Times New Roman" w:hAnsi="Times New Roman"/>
                <w:szCs w:val="22"/>
              </w:rPr>
            </w:pPr>
            <w:r>
              <w:rPr>
                <w:rFonts w:ascii="Times New Roman" w:hAnsi="Times New Roman"/>
                <w:i/>
                <w:szCs w:val="22"/>
              </w:rPr>
              <w:t>Sera considérée comme se trouvant en situation de conflit d’intérêts toute personne ayant, avec un ou plusieurs soumissionnaires et éventuels partenaires ou avec les sous-traitants, un</w:t>
            </w:r>
            <w:proofErr w:type="gramStart"/>
            <w:r>
              <w:rPr>
                <w:rFonts w:ascii="Times New Roman" w:hAnsi="Times New Roman"/>
                <w:i/>
                <w:szCs w:val="22"/>
              </w:rPr>
              <w:t xml:space="preserve"> «intérêt</w:t>
            </w:r>
            <w:proofErr w:type="gramEnd"/>
            <w:r>
              <w:rPr>
                <w:rFonts w:ascii="Times New Roman" w:hAnsi="Times New Roman"/>
                <w:i/>
                <w:szCs w:val="22"/>
              </w:rPr>
              <w:t xml:space="preserve"> </w:t>
            </w:r>
            <w:proofErr w:type="gramStart"/>
            <w:r>
              <w:rPr>
                <w:rFonts w:ascii="Times New Roman" w:hAnsi="Times New Roman"/>
                <w:i/>
                <w:szCs w:val="22"/>
              </w:rPr>
              <w:t>commun»</w:t>
            </w:r>
            <w:proofErr w:type="gramEnd"/>
            <w:r>
              <w:rPr>
                <w:rFonts w:ascii="Times New Roman" w:hAnsi="Times New Roman"/>
                <w:i/>
                <w:szCs w:val="22"/>
              </w:rPr>
              <w:t xml:space="preserve"> susceptible de compromettre l</w:t>
            </w:r>
            <w:r w:rsidR="00E301D7">
              <w:rPr>
                <w:rFonts w:ascii="Times New Roman" w:hAnsi="Times New Roman"/>
                <w:i/>
                <w:szCs w:val="22"/>
              </w:rPr>
              <w:t>’</w:t>
            </w:r>
            <w:r>
              <w:rPr>
                <w:rFonts w:ascii="Times New Roman" w:hAnsi="Times New Roman"/>
                <w:i/>
                <w:szCs w:val="22"/>
              </w:rPr>
              <w:t>exercice impartial et objectif de ses fonctions en tant que membre du comité. Cet intérêt commun peut résulter, entre autres, de liens familiaux ou affectifs, d</w:t>
            </w:r>
            <w:r w:rsidR="00E301D7">
              <w:rPr>
                <w:rFonts w:ascii="Times New Roman" w:hAnsi="Times New Roman"/>
                <w:i/>
                <w:szCs w:val="22"/>
              </w:rPr>
              <w:t>’</w:t>
            </w:r>
            <w:r>
              <w:rPr>
                <w:rFonts w:ascii="Times New Roman" w:hAnsi="Times New Roman"/>
                <w:i/>
                <w:szCs w:val="22"/>
              </w:rPr>
              <w:t>affinités politiques ou nationales ou d</w:t>
            </w:r>
            <w:r w:rsidR="00E301D7">
              <w:rPr>
                <w:rFonts w:ascii="Times New Roman" w:hAnsi="Times New Roman"/>
                <w:i/>
                <w:szCs w:val="22"/>
              </w:rPr>
              <w:t>’</w:t>
            </w:r>
            <w:r>
              <w:rPr>
                <w:rFonts w:ascii="Times New Roman" w:hAnsi="Times New Roman"/>
                <w:i/>
                <w:szCs w:val="22"/>
              </w:rPr>
              <w:t xml:space="preserve">un intérêt économique </w:t>
            </w:r>
            <w:r w:rsidR="00E301D7">
              <w:rPr>
                <w:rFonts w:ascii="Times New Roman" w:hAnsi="Times New Roman"/>
                <w:i/>
                <w:szCs w:val="22"/>
              </w:rPr>
              <w:t>—</w:t>
            </w:r>
            <w:r>
              <w:rPr>
                <w:rFonts w:ascii="Times New Roman" w:hAnsi="Times New Roman"/>
                <w:i/>
                <w:szCs w:val="22"/>
              </w:rPr>
              <w:t xml:space="preserve"> tel un contrat d</w:t>
            </w:r>
            <w:r w:rsidR="00E301D7">
              <w:rPr>
                <w:rFonts w:ascii="Times New Roman" w:hAnsi="Times New Roman"/>
                <w:i/>
                <w:szCs w:val="22"/>
              </w:rPr>
              <w:t>’</w:t>
            </w:r>
            <w:r>
              <w:rPr>
                <w:rFonts w:ascii="Times New Roman" w:hAnsi="Times New Roman"/>
                <w:i/>
                <w:szCs w:val="22"/>
              </w:rPr>
              <w:t>emploi.</w:t>
            </w:r>
          </w:p>
          <w:p w14:paraId="1469A984" w14:textId="77777777" w:rsidR="00D363B8" w:rsidRDefault="00D363B8" w:rsidP="00B45635">
            <w:pPr>
              <w:ind w:left="360"/>
              <w:jc w:val="both"/>
              <w:rPr>
                <w:rFonts w:ascii="Times New Roman" w:hAnsi="Times New Roman"/>
                <w:szCs w:val="22"/>
              </w:rPr>
            </w:pPr>
            <w:r>
              <w:rPr>
                <w:rFonts w:ascii="Times New Roman" w:hAnsi="Times New Roman"/>
                <w:szCs w:val="22"/>
              </w:rPr>
              <w:t xml:space="preserve">Si l’une ou l’autre personne fait état d’un conflit d’intérêts, le président lui demande de se retirer de la procédure. Une fois que cette personne s’est retirée du comité, le président poursuit avec le rappel </w:t>
            </w:r>
            <w:proofErr w:type="gramStart"/>
            <w:r>
              <w:rPr>
                <w:rFonts w:ascii="Times New Roman" w:hAnsi="Times New Roman"/>
                <w:szCs w:val="22"/>
              </w:rPr>
              <w:t>suivant:</w:t>
            </w:r>
            <w:proofErr w:type="gramEnd"/>
          </w:p>
          <w:p w14:paraId="3498E96C" w14:textId="77777777" w:rsidR="00D363B8" w:rsidRPr="009B34E8" w:rsidRDefault="00D363B8" w:rsidP="00B45635">
            <w:pPr>
              <w:ind w:left="360"/>
              <w:jc w:val="both"/>
              <w:rPr>
                <w:rFonts w:ascii="Times New Roman" w:hAnsi="Times New Roman"/>
                <w:i/>
                <w:szCs w:val="22"/>
              </w:rPr>
            </w:pPr>
            <w:r>
              <w:rPr>
                <w:rFonts w:ascii="Times New Roman" w:hAnsi="Times New Roman"/>
                <w:i/>
                <w:szCs w:val="22"/>
              </w:rPr>
              <w:t>Tous les participants à l’évaluation du présent appel d’offres doivent garantir l’impartialité et la confidentialité afin d’éviter tout conflit d’intérêts susceptible de fausser et d’influencer le déroulement de la procédure, laquelle doit être juste et équitable.</w:t>
            </w:r>
          </w:p>
          <w:p w14:paraId="693F9E1D" w14:textId="77777777" w:rsidR="0047783A" w:rsidRPr="006A5F84" w:rsidRDefault="0047783A" w:rsidP="004C36FF">
            <w:pPr>
              <w:ind w:left="360"/>
              <w:jc w:val="both"/>
              <w:rPr>
                <w:rFonts w:ascii="Times New Roman" w:hAnsi="Times New Roman"/>
                <w:szCs w:val="22"/>
              </w:rPr>
            </w:pPr>
            <w:r>
              <w:rPr>
                <w:rFonts w:ascii="Times New Roman" w:hAnsi="Times New Roman"/>
                <w:szCs w:val="22"/>
              </w:rPr>
              <w:t>Tous les membres du comité d’évaluation et les éventuels observateurs signent leur déclaration d’impartialité et de confidentialité.</w:t>
            </w:r>
          </w:p>
        </w:tc>
        <w:tc>
          <w:tcPr>
            <w:tcW w:w="1247" w:type="dxa"/>
          </w:tcPr>
          <w:p w14:paraId="48A19C1F" w14:textId="77777777" w:rsidR="0047783A" w:rsidRPr="006A5F84" w:rsidRDefault="0047783A">
            <w:pPr>
              <w:rPr>
                <w:rFonts w:ascii="Times New Roman" w:hAnsi="Times New Roman"/>
                <w:szCs w:val="22"/>
              </w:rPr>
            </w:pPr>
          </w:p>
        </w:tc>
      </w:tr>
      <w:tr w:rsidR="0047783A" w:rsidRPr="006A5F84" w14:paraId="77FD4564" w14:textId="77777777" w:rsidTr="0047783A">
        <w:trPr>
          <w:jc w:val="center"/>
        </w:trPr>
        <w:tc>
          <w:tcPr>
            <w:tcW w:w="8051" w:type="dxa"/>
          </w:tcPr>
          <w:p w14:paraId="4394BEC8" w14:textId="77777777" w:rsidR="00C17757" w:rsidRPr="000169CB" w:rsidRDefault="00C17757" w:rsidP="00F85006">
            <w:pPr>
              <w:numPr>
                <w:ilvl w:val="0"/>
                <w:numId w:val="14"/>
              </w:numPr>
              <w:jc w:val="both"/>
              <w:rPr>
                <w:rFonts w:ascii="Times New Roman" w:hAnsi="Times New Roman"/>
                <w:szCs w:val="22"/>
              </w:rPr>
            </w:pPr>
            <w:r>
              <w:rPr>
                <w:rFonts w:ascii="Times New Roman" w:hAnsi="Times New Roman"/>
                <w:szCs w:val="22"/>
              </w:rPr>
              <w:t xml:space="preserve">Soumission </w:t>
            </w:r>
            <w:proofErr w:type="gramStart"/>
            <w:r>
              <w:rPr>
                <w:rFonts w:ascii="Times New Roman" w:hAnsi="Times New Roman"/>
                <w:szCs w:val="22"/>
              </w:rPr>
              <w:t>papier:</w:t>
            </w:r>
            <w:proofErr w:type="gramEnd"/>
            <w:r>
              <w:rPr>
                <w:rFonts w:ascii="Times New Roman" w:hAnsi="Times New Roman"/>
                <w:szCs w:val="22"/>
              </w:rPr>
              <w:t xml:space="preserve"> le président signe le récapitulatif des offres reçues.</w:t>
            </w:r>
          </w:p>
        </w:tc>
        <w:tc>
          <w:tcPr>
            <w:tcW w:w="1247" w:type="dxa"/>
          </w:tcPr>
          <w:p w14:paraId="3C67DFB0" w14:textId="77777777" w:rsidR="0047783A" w:rsidRPr="006A5F84" w:rsidRDefault="0047783A">
            <w:pPr>
              <w:rPr>
                <w:rFonts w:ascii="Times New Roman" w:hAnsi="Times New Roman"/>
                <w:szCs w:val="22"/>
              </w:rPr>
            </w:pPr>
          </w:p>
        </w:tc>
      </w:tr>
      <w:tr w:rsidR="0047783A" w:rsidRPr="006A5F84" w14:paraId="066E277E" w14:textId="77777777" w:rsidTr="0047783A">
        <w:trPr>
          <w:jc w:val="center"/>
        </w:trPr>
        <w:tc>
          <w:tcPr>
            <w:tcW w:w="8051" w:type="dxa"/>
          </w:tcPr>
          <w:p w14:paraId="4A5C0118" w14:textId="77777777" w:rsidR="000169CB" w:rsidRDefault="000169CB" w:rsidP="00BC1195">
            <w:pPr>
              <w:numPr>
                <w:ilvl w:val="0"/>
                <w:numId w:val="14"/>
              </w:numPr>
              <w:jc w:val="both"/>
              <w:rPr>
                <w:rFonts w:ascii="Times New Roman" w:hAnsi="Times New Roman"/>
                <w:szCs w:val="22"/>
              </w:rPr>
            </w:pPr>
            <w:r>
              <w:rPr>
                <w:rFonts w:ascii="Times New Roman" w:hAnsi="Times New Roman"/>
                <w:szCs w:val="22"/>
              </w:rPr>
              <w:t xml:space="preserve">Soumission </w:t>
            </w:r>
            <w:proofErr w:type="gramStart"/>
            <w:r>
              <w:rPr>
                <w:rFonts w:ascii="Times New Roman" w:hAnsi="Times New Roman"/>
                <w:szCs w:val="22"/>
              </w:rPr>
              <w:t>papier:</w:t>
            </w:r>
            <w:proofErr w:type="gramEnd"/>
            <w:r>
              <w:rPr>
                <w:rFonts w:ascii="Times New Roman" w:hAnsi="Times New Roman"/>
                <w:szCs w:val="22"/>
              </w:rPr>
              <w:t xml:space="preserve"> tous les membres du comité d’évaluation signent le </w:t>
            </w:r>
            <w:r w:rsidR="00BC1195" w:rsidRPr="00BC1195">
              <w:rPr>
                <w:rFonts w:ascii="Times New Roman" w:hAnsi="Times New Roman"/>
                <w:szCs w:val="22"/>
              </w:rPr>
              <w:t>procès-verbal</w:t>
            </w:r>
            <w:r>
              <w:rPr>
                <w:rFonts w:ascii="Times New Roman" w:hAnsi="Times New Roman"/>
                <w:szCs w:val="22"/>
              </w:rPr>
              <w:t xml:space="preserve"> d’ouverture des offres. </w:t>
            </w:r>
          </w:p>
          <w:p w14:paraId="46A2C19F" w14:textId="77777777" w:rsidR="0047783A" w:rsidRPr="000169CB" w:rsidRDefault="000169CB" w:rsidP="006C172A">
            <w:pPr>
              <w:ind w:left="360"/>
              <w:jc w:val="both"/>
              <w:rPr>
                <w:rFonts w:ascii="Times New Roman" w:hAnsi="Times New Roman"/>
                <w:szCs w:val="22"/>
              </w:rPr>
            </w:pPr>
            <w:r>
              <w:rPr>
                <w:rFonts w:ascii="Times New Roman" w:hAnsi="Times New Roman"/>
                <w:szCs w:val="22"/>
              </w:rPr>
              <w:t xml:space="preserve">Soumission </w:t>
            </w:r>
            <w:proofErr w:type="gramStart"/>
            <w:r>
              <w:rPr>
                <w:rFonts w:ascii="Times New Roman" w:hAnsi="Times New Roman"/>
                <w:szCs w:val="22"/>
              </w:rPr>
              <w:t>électronique:</w:t>
            </w:r>
            <w:proofErr w:type="gramEnd"/>
            <w:r>
              <w:rPr>
                <w:rFonts w:ascii="Times New Roman" w:hAnsi="Times New Roman"/>
                <w:szCs w:val="22"/>
              </w:rPr>
              <w:t xml:space="preserve"> le président et/ou le secrétaire </w:t>
            </w:r>
            <w:proofErr w:type="spellStart"/>
            <w:r>
              <w:rPr>
                <w:rFonts w:ascii="Times New Roman" w:hAnsi="Times New Roman"/>
                <w:szCs w:val="22"/>
              </w:rPr>
              <w:t>extrai</w:t>
            </w:r>
            <w:proofErr w:type="spellEnd"/>
            <w:r>
              <w:rPr>
                <w:rFonts w:ascii="Times New Roman" w:hAnsi="Times New Roman"/>
                <w:szCs w:val="22"/>
              </w:rPr>
              <w:t xml:space="preserve">(en)t le </w:t>
            </w:r>
            <w:r w:rsidR="00BC1195" w:rsidRPr="00BC1195">
              <w:rPr>
                <w:rFonts w:ascii="Times New Roman" w:hAnsi="Times New Roman"/>
                <w:szCs w:val="22"/>
              </w:rPr>
              <w:t>procès-verbal</w:t>
            </w:r>
            <w:r>
              <w:rPr>
                <w:rFonts w:ascii="Times New Roman" w:hAnsi="Times New Roman"/>
                <w:szCs w:val="22"/>
              </w:rPr>
              <w:t xml:space="preserve"> d’ouverture généré à partir de l’application e-</w:t>
            </w:r>
            <w:proofErr w:type="spellStart"/>
            <w:r>
              <w:rPr>
                <w:rFonts w:ascii="Times New Roman" w:hAnsi="Times New Roman"/>
                <w:szCs w:val="22"/>
              </w:rPr>
              <w:t>Submission</w:t>
            </w:r>
            <w:proofErr w:type="spellEnd"/>
            <w:r>
              <w:rPr>
                <w:rFonts w:ascii="Times New Roman" w:hAnsi="Times New Roman"/>
                <w:szCs w:val="22"/>
              </w:rPr>
              <w:t>.</w:t>
            </w:r>
          </w:p>
        </w:tc>
        <w:tc>
          <w:tcPr>
            <w:tcW w:w="1247" w:type="dxa"/>
          </w:tcPr>
          <w:p w14:paraId="6CEACAAC" w14:textId="77777777" w:rsidR="0047783A" w:rsidRPr="006A5F84" w:rsidRDefault="0047783A">
            <w:pPr>
              <w:rPr>
                <w:rFonts w:ascii="Times New Roman" w:hAnsi="Times New Roman"/>
                <w:szCs w:val="22"/>
              </w:rPr>
            </w:pPr>
          </w:p>
        </w:tc>
      </w:tr>
    </w:tbl>
    <w:p w14:paraId="4AEDBBC1" w14:textId="77777777" w:rsidR="0047783A" w:rsidRPr="006A5F84" w:rsidRDefault="0047783A" w:rsidP="00B45635"/>
    <w:sectPr w:rsidR="0047783A" w:rsidRPr="006A5F84" w:rsidSect="00F13724">
      <w:headerReference w:type="even" r:id="rId11"/>
      <w:headerReference w:type="default" r:id="rId12"/>
      <w:footerReference w:type="even" r:id="rId13"/>
      <w:footerReference w:type="default" r:id="rId14"/>
      <w:headerReference w:type="first" r:id="rId15"/>
      <w:footerReference w:type="first" r:id="rId16"/>
      <w:footnotePr>
        <w:pos w:val="beneathText"/>
        <w:numRestart w:val="eachPage"/>
      </w:footnotePr>
      <w:endnotePr>
        <w:numFmt w:val="decimal"/>
      </w:endnotePr>
      <w:pgSz w:w="12240" w:h="15840" w:code="1"/>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2E893" w14:textId="77777777" w:rsidR="00856B80" w:rsidRPr="006A5F84" w:rsidRDefault="00856B80">
      <w:r>
        <w:separator/>
      </w:r>
    </w:p>
  </w:endnote>
  <w:endnote w:type="continuationSeparator" w:id="0">
    <w:p w14:paraId="6F872DCB" w14:textId="77777777" w:rsidR="00856B80" w:rsidRPr="006A5F84" w:rsidRDefault="00856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C53B" w14:textId="77777777" w:rsidR="00D90043" w:rsidRDefault="00D90043"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26182B46" w14:textId="77777777" w:rsidR="00D90043" w:rsidRDefault="00D90043"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74767" w14:textId="77777777" w:rsidR="00D90043" w:rsidRPr="002C0B3D" w:rsidRDefault="00BC7A7B" w:rsidP="00B9287A">
    <w:pPr>
      <w:pStyle w:val="Footer"/>
      <w:tabs>
        <w:tab w:val="clear" w:pos="4320"/>
        <w:tab w:val="clear" w:pos="8640"/>
        <w:tab w:val="right" w:pos="8647"/>
      </w:tabs>
      <w:spacing w:after="0"/>
      <w:ind w:right="6"/>
      <w:rPr>
        <w:rStyle w:val="PageNumber"/>
        <w:rFonts w:ascii="Times New Roman" w:hAnsi="Times New Roman"/>
        <w:sz w:val="18"/>
        <w:szCs w:val="18"/>
      </w:rPr>
    </w:pPr>
    <w:r>
      <w:rPr>
        <w:rFonts w:ascii="Times New Roman" w:hAnsi="Times New Roman"/>
        <w:b/>
        <w:sz w:val="18"/>
      </w:rPr>
      <w:t>2021</w:t>
    </w:r>
    <w:r w:rsidR="00EC436F">
      <w:rPr>
        <w:rFonts w:ascii="Times New Roman" w:hAnsi="Times New Roman"/>
        <w:b/>
        <w:sz w:val="18"/>
      </w:rPr>
      <w:t>.1</w:t>
    </w:r>
    <w:r>
      <w:tab/>
    </w:r>
    <w:r>
      <w:rPr>
        <w:rStyle w:val="PageNumber"/>
        <w:rFonts w:ascii="Times New Roman" w:hAnsi="Times New Roman"/>
        <w:sz w:val="18"/>
        <w:szCs w:val="18"/>
      </w:rPr>
      <w:t xml:space="preserve">Page </w:t>
    </w: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PAGE </w:instrText>
    </w:r>
    <w:r>
      <w:rPr>
        <w:rStyle w:val="PageNumber"/>
        <w:rFonts w:ascii="Times New Roman" w:hAnsi="Times New Roman"/>
        <w:sz w:val="18"/>
        <w:szCs w:val="18"/>
      </w:rPr>
      <w:fldChar w:fldCharType="separate"/>
    </w:r>
    <w:r w:rsidR="00EC436F">
      <w:rPr>
        <w:rStyle w:val="PageNumber"/>
        <w:rFonts w:ascii="Times New Roman" w:hAnsi="Times New Roman"/>
        <w:noProof/>
        <w:sz w:val="18"/>
        <w:szCs w:val="18"/>
      </w:rPr>
      <w:t>2</w:t>
    </w:r>
    <w:r>
      <w:rPr>
        <w:rStyle w:val="PageNumber"/>
        <w:rFonts w:ascii="Times New Roman" w:hAnsi="Times New Roman"/>
        <w:sz w:val="18"/>
        <w:szCs w:val="18"/>
      </w:rPr>
      <w:fldChar w:fldCharType="end"/>
    </w:r>
    <w:r>
      <w:rPr>
        <w:rStyle w:val="PageNumber"/>
        <w:rFonts w:ascii="Times New Roman" w:hAnsi="Times New Roman"/>
        <w:sz w:val="18"/>
        <w:szCs w:val="18"/>
      </w:rPr>
      <w:t xml:space="preserve"> sur </w:t>
    </w: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NUMPAGES </w:instrText>
    </w:r>
    <w:r>
      <w:rPr>
        <w:rStyle w:val="PageNumber"/>
        <w:rFonts w:ascii="Times New Roman" w:hAnsi="Times New Roman"/>
        <w:sz w:val="18"/>
        <w:szCs w:val="18"/>
      </w:rPr>
      <w:fldChar w:fldCharType="separate"/>
    </w:r>
    <w:r w:rsidR="00EC436F">
      <w:rPr>
        <w:rStyle w:val="PageNumber"/>
        <w:rFonts w:ascii="Times New Roman" w:hAnsi="Times New Roman"/>
        <w:noProof/>
        <w:sz w:val="18"/>
        <w:szCs w:val="18"/>
      </w:rPr>
      <w:t>2</w:t>
    </w:r>
    <w:r>
      <w:rPr>
        <w:rStyle w:val="PageNumber"/>
        <w:rFonts w:ascii="Times New Roman" w:hAnsi="Times New Roman"/>
        <w:sz w:val="18"/>
        <w:szCs w:val="18"/>
      </w:rPr>
      <w:fldChar w:fldCharType="end"/>
    </w:r>
  </w:p>
  <w:p w14:paraId="7B9B08B7" w14:textId="480FC3C6" w:rsidR="00D90043" w:rsidRPr="006A5F84" w:rsidRDefault="003A38B1" w:rsidP="004F76FB">
    <w:pPr>
      <w:pStyle w:val="Footer"/>
      <w:tabs>
        <w:tab w:val="clear" w:pos="8640"/>
        <w:tab w:val="right" w:pos="8788"/>
      </w:tabs>
      <w:spacing w:before="0" w:after="0"/>
      <w:rPr>
        <w:rFonts w:ascii="Times New Roman" w:hAnsi="Times New Roman"/>
        <w:sz w:val="18"/>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FILENAME </w:instrText>
    </w:r>
    <w:r>
      <w:rPr>
        <w:rStyle w:val="PageNumber"/>
        <w:rFonts w:ascii="Times New Roman" w:hAnsi="Times New Roman"/>
        <w:sz w:val="18"/>
        <w:szCs w:val="18"/>
      </w:rPr>
      <w:fldChar w:fldCharType="separate"/>
    </w:r>
    <w:r w:rsidR="00F13724">
      <w:rPr>
        <w:rStyle w:val="PageNumber"/>
        <w:rFonts w:ascii="Times New Roman" w:hAnsi="Times New Roman"/>
        <w:noProof/>
        <w:sz w:val="18"/>
        <w:szCs w:val="18"/>
      </w:rPr>
      <w:t>Checklist ouverture offre</w:t>
    </w:r>
    <w:r>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7E8" w14:textId="77777777" w:rsidR="00D90043" w:rsidRPr="003D7D2E" w:rsidRDefault="004D5DE0" w:rsidP="004F76FB">
    <w:pPr>
      <w:pStyle w:val="Footer"/>
      <w:tabs>
        <w:tab w:val="clear" w:pos="4320"/>
        <w:tab w:val="clear" w:pos="8640"/>
        <w:tab w:val="right" w:pos="8788"/>
      </w:tabs>
      <w:spacing w:after="0"/>
      <w:rPr>
        <w:rStyle w:val="PageNumber"/>
        <w:rFonts w:ascii="Times New Roman" w:hAnsi="Times New Roman"/>
        <w:sz w:val="18"/>
        <w:szCs w:val="18"/>
      </w:rPr>
    </w:pPr>
    <w:r>
      <w:rPr>
        <w:rFonts w:ascii="Times New Roman" w:hAnsi="Times New Roman"/>
        <w:b/>
        <w:sz w:val="18"/>
      </w:rPr>
      <w:t>2021</w:t>
    </w:r>
    <w:r w:rsidR="00EC436F">
      <w:rPr>
        <w:rFonts w:ascii="Times New Roman" w:hAnsi="Times New Roman"/>
        <w:b/>
        <w:sz w:val="18"/>
      </w:rPr>
      <w:t>.1</w:t>
    </w:r>
    <w:r>
      <w:tab/>
    </w:r>
    <w:r>
      <w:rPr>
        <w:rFonts w:ascii="Times New Roman" w:hAnsi="Times New Roman"/>
        <w:sz w:val="18"/>
        <w:szCs w:val="18"/>
      </w:rPr>
      <w:t xml:space="preserve">Page </w:t>
    </w: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PAGE </w:instrText>
    </w:r>
    <w:r>
      <w:rPr>
        <w:rStyle w:val="PageNumber"/>
        <w:rFonts w:ascii="Times New Roman" w:hAnsi="Times New Roman"/>
        <w:sz w:val="18"/>
        <w:szCs w:val="18"/>
      </w:rPr>
      <w:fldChar w:fldCharType="separate"/>
    </w:r>
    <w:r w:rsidR="00EC436F">
      <w:rPr>
        <w:rStyle w:val="PageNumber"/>
        <w:rFonts w:ascii="Times New Roman" w:hAnsi="Times New Roman"/>
        <w:noProof/>
        <w:sz w:val="18"/>
        <w:szCs w:val="18"/>
      </w:rPr>
      <w:t>1</w:t>
    </w:r>
    <w:r>
      <w:rPr>
        <w:rStyle w:val="PageNumber"/>
        <w:rFonts w:ascii="Times New Roman" w:hAnsi="Times New Roman"/>
        <w:sz w:val="18"/>
        <w:szCs w:val="18"/>
      </w:rPr>
      <w:fldChar w:fldCharType="end"/>
    </w:r>
    <w:r>
      <w:rPr>
        <w:rStyle w:val="PageNumber"/>
        <w:rFonts w:ascii="Times New Roman" w:hAnsi="Times New Roman"/>
        <w:sz w:val="18"/>
        <w:szCs w:val="18"/>
      </w:rPr>
      <w:t xml:space="preserve"> sur </w:t>
    </w: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NUMPAGES </w:instrText>
    </w:r>
    <w:r>
      <w:rPr>
        <w:rStyle w:val="PageNumber"/>
        <w:rFonts w:ascii="Times New Roman" w:hAnsi="Times New Roman"/>
        <w:sz w:val="18"/>
        <w:szCs w:val="18"/>
      </w:rPr>
      <w:fldChar w:fldCharType="separate"/>
    </w:r>
    <w:r w:rsidR="00EC436F">
      <w:rPr>
        <w:rStyle w:val="PageNumber"/>
        <w:rFonts w:ascii="Times New Roman" w:hAnsi="Times New Roman"/>
        <w:noProof/>
        <w:sz w:val="18"/>
        <w:szCs w:val="18"/>
      </w:rPr>
      <w:t>2</w:t>
    </w:r>
    <w:r>
      <w:rPr>
        <w:rStyle w:val="PageNumber"/>
        <w:rFonts w:ascii="Times New Roman" w:hAnsi="Times New Roman"/>
        <w:sz w:val="18"/>
        <w:szCs w:val="18"/>
      </w:rPr>
      <w:fldChar w:fldCharType="end"/>
    </w:r>
  </w:p>
  <w:p w14:paraId="282BAE42" w14:textId="7EBFF714" w:rsidR="003D7D2E" w:rsidRPr="00D363B8" w:rsidRDefault="003D7D2E" w:rsidP="003D7D2E">
    <w:pPr>
      <w:pStyle w:val="Footer"/>
      <w:tabs>
        <w:tab w:val="clear" w:pos="8640"/>
        <w:tab w:val="right" w:pos="8788"/>
      </w:tabs>
      <w:spacing w:before="0" w:after="0"/>
      <w:rPr>
        <w:rFonts w:ascii="Times New Roman" w:hAnsi="Times New Roman"/>
        <w:sz w:val="18"/>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FILENAME </w:instrText>
    </w:r>
    <w:r>
      <w:rPr>
        <w:rStyle w:val="PageNumber"/>
        <w:rFonts w:ascii="Times New Roman" w:hAnsi="Times New Roman"/>
        <w:sz w:val="18"/>
        <w:szCs w:val="18"/>
      </w:rPr>
      <w:fldChar w:fldCharType="separate"/>
    </w:r>
    <w:r w:rsidR="00F13724">
      <w:rPr>
        <w:rStyle w:val="PageNumber"/>
        <w:rFonts w:ascii="Times New Roman" w:hAnsi="Times New Roman"/>
        <w:noProof/>
        <w:sz w:val="18"/>
        <w:szCs w:val="18"/>
      </w:rPr>
      <w:t>Checklist ouverture offre</w:t>
    </w:r>
    <w:r>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4FF7F" w14:textId="77777777" w:rsidR="00856B80" w:rsidRPr="006A5F84" w:rsidRDefault="00856B80">
      <w:r>
        <w:separator/>
      </w:r>
    </w:p>
  </w:footnote>
  <w:footnote w:type="continuationSeparator" w:id="0">
    <w:p w14:paraId="405BE579" w14:textId="77777777" w:rsidR="00856B80" w:rsidRPr="006A5F84" w:rsidRDefault="00856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EDB0" w14:textId="77777777" w:rsidR="006256EB" w:rsidRDefault="006256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88D0" w14:textId="77777777" w:rsidR="006256EB" w:rsidRDefault="006256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7B88" w14:textId="77777777" w:rsidR="006256EB" w:rsidRDefault="00625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70031743">
    <w:abstractNumId w:val="7"/>
  </w:num>
  <w:num w:numId="2" w16cid:durableId="1159619417">
    <w:abstractNumId w:val="15"/>
  </w:num>
  <w:num w:numId="3" w16cid:durableId="1988391688">
    <w:abstractNumId w:val="6"/>
  </w:num>
  <w:num w:numId="4" w16cid:durableId="1316572975">
    <w:abstractNumId w:val="9"/>
  </w:num>
  <w:num w:numId="5" w16cid:durableId="1610433776">
    <w:abstractNumId w:val="17"/>
  </w:num>
  <w:num w:numId="6" w16cid:durableId="429588585">
    <w:abstractNumId w:val="5"/>
  </w:num>
  <w:num w:numId="7" w16cid:durableId="1991400482">
    <w:abstractNumId w:val="2"/>
  </w:num>
  <w:num w:numId="8" w16cid:durableId="611671194">
    <w:abstractNumId w:val="0"/>
  </w:num>
  <w:num w:numId="9" w16cid:durableId="1342197330">
    <w:abstractNumId w:val="10"/>
  </w:num>
  <w:num w:numId="10" w16cid:durableId="1345743487">
    <w:abstractNumId w:val="1"/>
  </w:num>
  <w:num w:numId="11" w16cid:durableId="1312901461">
    <w:abstractNumId w:val="14"/>
  </w:num>
  <w:num w:numId="12" w16cid:durableId="647055147">
    <w:abstractNumId w:val="8"/>
  </w:num>
  <w:num w:numId="13" w16cid:durableId="472214952">
    <w:abstractNumId w:val="3"/>
  </w:num>
  <w:num w:numId="14" w16cid:durableId="1646467130">
    <w:abstractNumId w:val="12"/>
  </w:num>
  <w:num w:numId="15" w16cid:durableId="1101534845">
    <w:abstractNumId w:val="13"/>
  </w:num>
  <w:num w:numId="16" w16cid:durableId="1933125502">
    <w:abstractNumId w:val="4"/>
  </w:num>
  <w:num w:numId="17" w16cid:durableId="209882011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numRestart w:val="eachPage"/>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21E1"/>
    <w:rsid w:val="000169CB"/>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671B"/>
    <w:rsid w:val="00085CA1"/>
    <w:rsid w:val="00087F35"/>
    <w:rsid w:val="0009286D"/>
    <w:rsid w:val="000A1A71"/>
    <w:rsid w:val="000A3B36"/>
    <w:rsid w:val="000A7A2C"/>
    <w:rsid w:val="000B0983"/>
    <w:rsid w:val="000B1236"/>
    <w:rsid w:val="000B79F6"/>
    <w:rsid w:val="000C27F3"/>
    <w:rsid w:val="000C3D51"/>
    <w:rsid w:val="000C4AE6"/>
    <w:rsid w:val="000D24E3"/>
    <w:rsid w:val="000D2B44"/>
    <w:rsid w:val="000D40DB"/>
    <w:rsid w:val="000E7B75"/>
    <w:rsid w:val="000F1339"/>
    <w:rsid w:val="000F5F5F"/>
    <w:rsid w:val="00103348"/>
    <w:rsid w:val="00103913"/>
    <w:rsid w:val="00111B28"/>
    <w:rsid w:val="00115916"/>
    <w:rsid w:val="00115A3D"/>
    <w:rsid w:val="00121DE4"/>
    <w:rsid w:val="00122EEB"/>
    <w:rsid w:val="0012677D"/>
    <w:rsid w:val="001302A7"/>
    <w:rsid w:val="001320DF"/>
    <w:rsid w:val="0014659F"/>
    <w:rsid w:val="00150767"/>
    <w:rsid w:val="001515E4"/>
    <w:rsid w:val="001536B3"/>
    <w:rsid w:val="00157C6D"/>
    <w:rsid w:val="00157DEE"/>
    <w:rsid w:val="001645AC"/>
    <w:rsid w:val="00164F15"/>
    <w:rsid w:val="001766D9"/>
    <w:rsid w:val="00181980"/>
    <w:rsid w:val="00187253"/>
    <w:rsid w:val="001932AF"/>
    <w:rsid w:val="001937B4"/>
    <w:rsid w:val="001A6C79"/>
    <w:rsid w:val="001B5454"/>
    <w:rsid w:val="001B7834"/>
    <w:rsid w:val="001C7CA2"/>
    <w:rsid w:val="001D0532"/>
    <w:rsid w:val="001D20C7"/>
    <w:rsid w:val="001D339B"/>
    <w:rsid w:val="001E4648"/>
    <w:rsid w:val="001F410B"/>
    <w:rsid w:val="001F5421"/>
    <w:rsid w:val="002012E1"/>
    <w:rsid w:val="00207642"/>
    <w:rsid w:val="00211229"/>
    <w:rsid w:val="00211E0F"/>
    <w:rsid w:val="00212FE1"/>
    <w:rsid w:val="00216F0D"/>
    <w:rsid w:val="002209F1"/>
    <w:rsid w:val="00220BF7"/>
    <w:rsid w:val="00224C44"/>
    <w:rsid w:val="00225CDC"/>
    <w:rsid w:val="00227A8C"/>
    <w:rsid w:val="00232146"/>
    <w:rsid w:val="002426D3"/>
    <w:rsid w:val="002442B7"/>
    <w:rsid w:val="002455C7"/>
    <w:rsid w:val="0025137A"/>
    <w:rsid w:val="002560BB"/>
    <w:rsid w:val="002561C8"/>
    <w:rsid w:val="0026542C"/>
    <w:rsid w:val="00271700"/>
    <w:rsid w:val="00272A7B"/>
    <w:rsid w:val="00281077"/>
    <w:rsid w:val="0028364A"/>
    <w:rsid w:val="00290561"/>
    <w:rsid w:val="00294190"/>
    <w:rsid w:val="002A0041"/>
    <w:rsid w:val="002B6401"/>
    <w:rsid w:val="002C0B3D"/>
    <w:rsid w:val="002C649A"/>
    <w:rsid w:val="002D0CE1"/>
    <w:rsid w:val="002D1FCC"/>
    <w:rsid w:val="002D2FC0"/>
    <w:rsid w:val="002D6EED"/>
    <w:rsid w:val="002F1222"/>
    <w:rsid w:val="002F4FB8"/>
    <w:rsid w:val="00322263"/>
    <w:rsid w:val="003308C6"/>
    <w:rsid w:val="0033212F"/>
    <w:rsid w:val="00333356"/>
    <w:rsid w:val="00335E06"/>
    <w:rsid w:val="003409B8"/>
    <w:rsid w:val="00347B7E"/>
    <w:rsid w:val="003502E9"/>
    <w:rsid w:val="00351351"/>
    <w:rsid w:val="00360344"/>
    <w:rsid w:val="003613D2"/>
    <w:rsid w:val="00371851"/>
    <w:rsid w:val="00371F01"/>
    <w:rsid w:val="003721AD"/>
    <w:rsid w:val="00372540"/>
    <w:rsid w:val="00384BAB"/>
    <w:rsid w:val="00385FFC"/>
    <w:rsid w:val="00387C56"/>
    <w:rsid w:val="003925E9"/>
    <w:rsid w:val="003A38B1"/>
    <w:rsid w:val="003C7266"/>
    <w:rsid w:val="003D2078"/>
    <w:rsid w:val="003D3CAA"/>
    <w:rsid w:val="003D7611"/>
    <w:rsid w:val="003D7D2E"/>
    <w:rsid w:val="003E7C71"/>
    <w:rsid w:val="003F2FA4"/>
    <w:rsid w:val="003F3B51"/>
    <w:rsid w:val="003F7AF5"/>
    <w:rsid w:val="003F7DB7"/>
    <w:rsid w:val="0040221E"/>
    <w:rsid w:val="0040595A"/>
    <w:rsid w:val="004072FA"/>
    <w:rsid w:val="00420666"/>
    <w:rsid w:val="004300D4"/>
    <w:rsid w:val="004316F0"/>
    <w:rsid w:val="004446C9"/>
    <w:rsid w:val="0045310F"/>
    <w:rsid w:val="004554CB"/>
    <w:rsid w:val="004607CD"/>
    <w:rsid w:val="004775D2"/>
    <w:rsid w:val="0047783A"/>
    <w:rsid w:val="00483E26"/>
    <w:rsid w:val="0049088E"/>
    <w:rsid w:val="00494168"/>
    <w:rsid w:val="004A0140"/>
    <w:rsid w:val="004A101E"/>
    <w:rsid w:val="004A7ED9"/>
    <w:rsid w:val="004B6032"/>
    <w:rsid w:val="004C35B5"/>
    <w:rsid w:val="004C36FF"/>
    <w:rsid w:val="004D2FD8"/>
    <w:rsid w:val="004D5DE0"/>
    <w:rsid w:val="004E3EED"/>
    <w:rsid w:val="004F5C57"/>
    <w:rsid w:val="004F76FB"/>
    <w:rsid w:val="005005D7"/>
    <w:rsid w:val="00501FF0"/>
    <w:rsid w:val="00516552"/>
    <w:rsid w:val="00527426"/>
    <w:rsid w:val="00535826"/>
    <w:rsid w:val="00536B4A"/>
    <w:rsid w:val="00537189"/>
    <w:rsid w:val="00556923"/>
    <w:rsid w:val="005634B2"/>
    <w:rsid w:val="00563858"/>
    <w:rsid w:val="00575CB0"/>
    <w:rsid w:val="00582894"/>
    <w:rsid w:val="00586D6C"/>
    <w:rsid w:val="00591F23"/>
    <w:rsid w:val="00593550"/>
    <w:rsid w:val="005B2018"/>
    <w:rsid w:val="005C0EA1"/>
    <w:rsid w:val="005D0808"/>
    <w:rsid w:val="005D72F7"/>
    <w:rsid w:val="005F3C51"/>
    <w:rsid w:val="005F57A4"/>
    <w:rsid w:val="005F62D0"/>
    <w:rsid w:val="006150A8"/>
    <w:rsid w:val="006256EB"/>
    <w:rsid w:val="006311FE"/>
    <w:rsid w:val="00633829"/>
    <w:rsid w:val="00636E8F"/>
    <w:rsid w:val="006408AC"/>
    <w:rsid w:val="00640D24"/>
    <w:rsid w:val="00661B3C"/>
    <w:rsid w:val="0066307C"/>
    <w:rsid w:val="0066519D"/>
    <w:rsid w:val="006660F7"/>
    <w:rsid w:val="00670316"/>
    <w:rsid w:val="00677500"/>
    <w:rsid w:val="0068247E"/>
    <w:rsid w:val="006917B2"/>
    <w:rsid w:val="00692095"/>
    <w:rsid w:val="006A5F84"/>
    <w:rsid w:val="006B0AB1"/>
    <w:rsid w:val="006C172A"/>
    <w:rsid w:val="006C2F05"/>
    <w:rsid w:val="006C513D"/>
    <w:rsid w:val="006D3BA1"/>
    <w:rsid w:val="006E56FD"/>
    <w:rsid w:val="006E6880"/>
    <w:rsid w:val="006F43E5"/>
    <w:rsid w:val="00711C72"/>
    <w:rsid w:val="0071243A"/>
    <w:rsid w:val="00724D0C"/>
    <w:rsid w:val="007312B6"/>
    <w:rsid w:val="0073450F"/>
    <w:rsid w:val="007510EC"/>
    <w:rsid w:val="0075384B"/>
    <w:rsid w:val="00760195"/>
    <w:rsid w:val="007625F7"/>
    <w:rsid w:val="00763B1C"/>
    <w:rsid w:val="00764B14"/>
    <w:rsid w:val="00765C82"/>
    <w:rsid w:val="007666CD"/>
    <w:rsid w:val="00776BF7"/>
    <w:rsid w:val="00777E99"/>
    <w:rsid w:val="00792A1B"/>
    <w:rsid w:val="007A0045"/>
    <w:rsid w:val="007A1EA4"/>
    <w:rsid w:val="007B65DB"/>
    <w:rsid w:val="007C0BDD"/>
    <w:rsid w:val="007C1656"/>
    <w:rsid w:val="007C75E0"/>
    <w:rsid w:val="007D5FA2"/>
    <w:rsid w:val="007E0CD5"/>
    <w:rsid w:val="007E3D5F"/>
    <w:rsid w:val="007F6802"/>
    <w:rsid w:val="00806CE0"/>
    <w:rsid w:val="00811F58"/>
    <w:rsid w:val="0081418B"/>
    <w:rsid w:val="008227A5"/>
    <w:rsid w:val="00822E7E"/>
    <w:rsid w:val="008272ED"/>
    <w:rsid w:val="00853F9D"/>
    <w:rsid w:val="0085667F"/>
    <w:rsid w:val="00856B80"/>
    <w:rsid w:val="00857D53"/>
    <w:rsid w:val="008617F3"/>
    <w:rsid w:val="00870FD6"/>
    <w:rsid w:val="008808CB"/>
    <w:rsid w:val="00882C0C"/>
    <w:rsid w:val="008847D1"/>
    <w:rsid w:val="00885882"/>
    <w:rsid w:val="008859E6"/>
    <w:rsid w:val="00892CE9"/>
    <w:rsid w:val="008934F5"/>
    <w:rsid w:val="008A048D"/>
    <w:rsid w:val="008A39B7"/>
    <w:rsid w:val="008C4E79"/>
    <w:rsid w:val="008C5A40"/>
    <w:rsid w:val="008C5DAA"/>
    <w:rsid w:val="008D3F4A"/>
    <w:rsid w:val="008E40E2"/>
    <w:rsid w:val="008F3866"/>
    <w:rsid w:val="0090317F"/>
    <w:rsid w:val="009033DD"/>
    <w:rsid w:val="009143FD"/>
    <w:rsid w:val="00920A51"/>
    <w:rsid w:val="00922542"/>
    <w:rsid w:val="009251E3"/>
    <w:rsid w:val="0093582A"/>
    <w:rsid w:val="0094328B"/>
    <w:rsid w:val="0094670B"/>
    <w:rsid w:val="009773ED"/>
    <w:rsid w:val="00980A42"/>
    <w:rsid w:val="009976B3"/>
    <w:rsid w:val="009A3792"/>
    <w:rsid w:val="009A3A53"/>
    <w:rsid w:val="009B0CF1"/>
    <w:rsid w:val="009B1FBF"/>
    <w:rsid w:val="009B2F1F"/>
    <w:rsid w:val="009B422E"/>
    <w:rsid w:val="009B4D6F"/>
    <w:rsid w:val="009B5A6D"/>
    <w:rsid w:val="009C0E86"/>
    <w:rsid w:val="009D2938"/>
    <w:rsid w:val="009E6BB7"/>
    <w:rsid w:val="009F3126"/>
    <w:rsid w:val="00A039CA"/>
    <w:rsid w:val="00A11F12"/>
    <w:rsid w:val="00A1746F"/>
    <w:rsid w:val="00A36AF1"/>
    <w:rsid w:val="00A512A5"/>
    <w:rsid w:val="00A512C9"/>
    <w:rsid w:val="00A539E4"/>
    <w:rsid w:val="00A62073"/>
    <w:rsid w:val="00A63E3C"/>
    <w:rsid w:val="00A665A2"/>
    <w:rsid w:val="00A75650"/>
    <w:rsid w:val="00A845B1"/>
    <w:rsid w:val="00A90875"/>
    <w:rsid w:val="00AA24A4"/>
    <w:rsid w:val="00AA4766"/>
    <w:rsid w:val="00AA5A59"/>
    <w:rsid w:val="00AB26E0"/>
    <w:rsid w:val="00AB29A9"/>
    <w:rsid w:val="00AB3AB0"/>
    <w:rsid w:val="00AB5ED5"/>
    <w:rsid w:val="00AB66A5"/>
    <w:rsid w:val="00AC2621"/>
    <w:rsid w:val="00AC7636"/>
    <w:rsid w:val="00AE5192"/>
    <w:rsid w:val="00AE6600"/>
    <w:rsid w:val="00AE7D13"/>
    <w:rsid w:val="00AF4052"/>
    <w:rsid w:val="00AF47CA"/>
    <w:rsid w:val="00B07102"/>
    <w:rsid w:val="00B1165D"/>
    <w:rsid w:val="00B17A53"/>
    <w:rsid w:val="00B2499C"/>
    <w:rsid w:val="00B277E4"/>
    <w:rsid w:val="00B30222"/>
    <w:rsid w:val="00B30528"/>
    <w:rsid w:val="00B3168E"/>
    <w:rsid w:val="00B44B08"/>
    <w:rsid w:val="00B44DC5"/>
    <w:rsid w:val="00B45635"/>
    <w:rsid w:val="00B4772C"/>
    <w:rsid w:val="00B51209"/>
    <w:rsid w:val="00B569B1"/>
    <w:rsid w:val="00B615C5"/>
    <w:rsid w:val="00B61CED"/>
    <w:rsid w:val="00B63280"/>
    <w:rsid w:val="00B662DD"/>
    <w:rsid w:val="00B70C0E"/>
    <w:rsid w:val="00B7329A"/>
    <w:rsid w:val="00B80DE8"/>
    <w:rsid w:val="00B8161D"/>
    <w:rsid w:val="00B84EBC"/>
    <w:rsid w:val="00B90C14"/>
    <w:rsid w:val="00B9287A"/>
    <w:rsid w:val="00B965CD"/>
    <w:rsid w:val="00B9691D"/>
    <w:rsid w:val="00BA0965"/>
    <w:rsid w:val="00BA70CB"/>
    <w:rsid w:val="00BB2075"/>
    <w:rsid w:val="00BB56D3"/>
    <w:rsid w:val="00BC1195"/>
    <w:rsid w:val="00BC3B75"/>
    <w:rsid w:val="00BC6222"/>
    <w:rsid w:val="00BC7A7B"/>
    <w:rsid w:val="00BD201F"/>
    <w:rsid w:val="00BD3371"/>
    <w:rsid w:val="00BF1A9A"/>
    <w:rsid w:val="00C12AF0"/>
    <w:rsid w:val="00C13C29"/>
    <w:rsid w:val="00C17310"/>
    <w:rsid w:val="00C17757"/>
    <w:rsid w:val="00C302E1"/>
    <w:rsid w:val="00C3235B"/>
    <w:rsid w:val="00C34E40"/>
    <w:rsid w:val="00C41328"/>
    <w:rsid w:val="00C41919"/>
    <w:rsid w:val="00C55092"/>
    <w:rsid w:val="00C61312"/>
    <w:rsid w:val="00C720C8"/>
    <w:rsid w:val="00C75CCE"/>
    <w:rsid w:val="00C778A1"/>
    <w:rsid w:val="00C86724"/>
    <w:rsid w:val="00C92434"/>
    <w:rsid w:val="00CA1354"/>
    <w:rsid w:val="00CA6C68"/>
    <w:rsid w:val="00CC7DE2"/>
    <w:rsid w:val="00CD7F25"/>
    <w:rsid w:val="00CF2DE2"/>
    <w:rsid w:val="00CF30C4"/>
    <w:rsid w:val="00CF6CFA"/>
    <w:rsid w:val="00D02E23"/>
    <w:rsid w:val="00D15C86"/>
    <w:rsid w:val="00D243E7"/>
    <w:rsid w:val="00D24469"/>
    <w:rsid w:val="00D24893"/>
    <w:rsid w:val="00D312D2"/>
    <w:rsid w:val="00D363B8"/>
    <w:rsid w:val="00D43612"/>
    <w:rsid w:val="00D52CBF"/>
    <w:rsid w:val="00D576CA"/>
    <w:rsid w:val="00D662AA"/>
    <w:rsid w:val="00D66F04"/>
    <w:rsid w:val="00D678AC"/>
    <w:rsid w:val="00D71AF3"/>
    <w:rsid w:val="00D75213"/>
    <w:rsid w:val="00D81C9F"/>
    <w:rsid w:val="00D82F95"/>
    <w:rsid w:val="00D83D1B"/>
    <w:rsid w:val="00D90043"/>
    <w:rsid w:val="00D979C6"/>
    <w:rsid w:val="00DA4AB8"/>
    <w:rsid w:val="00DC50E2"/>
    <w:rsid w:val="00DC54A0"/>
    <w:rsid w:val="00DC6C9C"/>
    <w:rsid w:val="00DD0624"/>
    <w:rsid w:val="00DD13B0"/>
    <w:rsid w:val="00DD5481"/>
    <w:rsid w:val="00DE13B8"/>
    <w:rsid w:val="00DE7055"/>
    <w:rsid w:val="00DE71AB"/>
    <w:rsid w:val="00DF7145"/>
    <w:rsid w:val="00DF7327"/>
    <w:rsid w:val="00E0295D"/>
    <w:rsid w:val="00E13CDE"/>
    <w:rsid w:val="00E14817"/>
    <w:rsid w:val="00E2190B"/>
    <w:rsid w:val="00E237CD"/>
    <w:rsid w:val="00E2682A"/>
    <w:rsid w:val="00E27678"/>
    <w:rsid w:val="00E301D7"/>
    <w:rsid w:val="00E31ACE"/>
    <w:rsid w:val="00E340A7"/>
    <w:rsid w:val="00E34208"/>
    <w:rsid w:val="00E37290"/>
    <w:rsid w:val="00E37A55"/>
    <w:rsid w:val="00E41C6F"/>
    <w:rsid w:val="00E4760D"/>
    <w:rsid w:val="00E52467"/>
    <w:rsid w:val="00E52D98"/>
    <w:rsid w:val="00E54949"/>
    <w:rsid w:val="00E54B1B"/>
    <w:rsid w:val="00E571E1"/>
    <w:rsid w:val="00E60A37"/>
    <w:rsid w:val="00E62221"/>
    <w:rsid w:val="00E62923"/>
    <w:rsid w:val="00E730A5"/>
    <w:rsid w:val="00E76356"/>
    <w:rsid w:val="00E811F3"/>
    <w:rsid w:val="00E85F91"/>
    <w:rsid w:val="00EB78F4"/>
    <w:rsid w:val="00EC436F"/>
    <w:rsid w:val="00EE0ED9"/>
    <w:rsid w:val="00EE23B1"/>
    <w:rsid w:val="00EE2E55"/>
    <w:rsid w:val="00EF1C05"/>
    <w:rsid w:val="00EF3951"/>
    <w:rsid w:val="00EF6426"/>
    <w:rsid w:val="00F01FE2"/>
    <w:rsid w:val="00F02006"/>
    <w:rsid w:val="00F05223"/>
    <w:rsid w:val="00F0574A"/>
    <w:rsid w:val="00F13724"/>
    <w:rsid w:val="00F212C2"/>
    <w:rsid w:val="00F33A99"/>
    <w:rsid w:val="00F4528C"/>
    <w:rsid w:val="00F56D4C"/>
    <w:rsid w:val="00F658F3"/>
    <w:rsid w:val="00F676D0"/>
    <w:rsid w:val="00F67C74"/>
    <w:rsid w:val="00F70290"/>
    <w:rsid w:val="00F8016B"/>
    <w:rsid w:val="00F804E1"/>
    <w:rsid w:val="00F85006"/>
    <w:rsid w:val="00F8643E"/>
    <w:rsid w:val="00F874CE"/>
    <w:rsid w:val="00F87F88"/>
    <w:rsid w:val="00F90A9F"/>
    <w:rsid w:val="00F91DF6"/>
    <w:rsid w:val="00F962E3"/>
    <w:rsid w:val="00FA3F66"/>
    <w:rsid w:val="00FA745F"/>
    <w:rsid w:val="00FB2706"/>
    <w:rsid w:val="00FB3374"/>
    <w:rsid w:val="00FB67DE"/>
    <w:rsid w:val="00FC53C9"/>
    <w:rsid w:val="00FD23CD"/>
    <w:rsid w:val="00FD68B9"/>
    <w:rsid w:val="00FD6CB9"/>
    <w:rsid w:val="00FE3081"/>
    <w:rsid w:val="00FE3E3B"/>
    <w:rsid w:val="00FE7D87"/>
    <w:rsid w:val="00FF5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F39E0"/>
  <w15:chartTrackingRefBased/>
  <w15:docId w15:val="{CBEC9265-73F7-4D48-B142-7DBE79D6B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pPr>
    <w:rPr>
      <w:rFonts w:ascii="Arial" w:hAnsi="Arial"/>
      <w:snapToGrid w:val="0"/>
      <w:lang w:val="fr-FR"/>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rPr>
  </w:style>
  <w:style w:type="paragraph" w:styleId="Heading2">
    <w:name w:val="heading 2"/>
    <w:basedOn w:val="Normal"/>
    <w:next w:val="Normal"/>
    <w:link w:val="Heading2Char"/>
    <w:qFormat/>
    <w:pPr>
      <w:keepNext/>
      <w:outlineLvl w:val="1"/>
    </w:p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rPr>
  </w:style>
  <w:style w:type="paragraph" w:styleId="Subtitle">
    <w:name w:val="Subtitle"/>
    <w:basedOn w:val="Normal"/>
    <w:link w:val="SubtitleChar"/>
    <w:qFormat/>
    <w:pPr>
      <w:jc w:val="center"/>
    </w:pPr>
    <w:rPr>
      <w:b/>
      <w:sz w:val="28"/>
    </w:rPr>
  </w:style>
  <w:style w:type="paragraph" w:styleId="BodyTextIndent">
    <w:name w:val="Body Text Indent"/>
    <w:basedOn w:val="Normal"/>
    <w:link w:val="BodyTextIndentChar"/>
    <w:pPr>
      <w:tabs>
        <w:tab w:val="num" w:pos="567"/>
      </w:tabs>
      <w:spacing w:before="0" w:after="0"/>
      <w:jc w:val="both"/>
    </w:pPr>
    <w:rPr>
      <w:rFonts w:ascii="Times New Roman" w:hAnsi="Times New Roman"/>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DocumentMap">
    <w:name w:val="Document Map"/>
    <w:basedOn w:val="Normal"/>
    <w:link w:val="DocumentMapChar"/>
    <w:semiHidden/>
    <w:pPr>
      <w:shd w:val="clear" w:color="auto" w:fill="000080"/>
    </w:pPr>
    <w:rPr>
      <w:sz w:val="24"/>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rPr>
  </w:style>
  <w:style w:type="paragraph" w:customStyle="1" w:styleId="Style1">
    <w:name w:val="Style1"/>
    <w:basedOn w:val="Normal"/>
    <w:pPr>
      <w:keepNext/>
      <w:widowControl w:val="0"/>
      <w:tabs>
        <w:tab w:val="num" w:pos="992"/>
      </w:tabs>
      <w:ind w:left="992" w:hanging="992"/>
    </w:pPr>
    <w:rPr>
      <w:b/>
      <w:sz w:val="18"/>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fr-FR"/>
    </w:rPr>
  </w:style>
  <w:style w:type="paragraph" w:customStyle="1" w:styleId="Section">
    <w:name w:val="Section"/>
    <w:basedOn w:val="Normal"/>
    <w:pPr>
      <w:widowControl w:val="0"/>
      <w:spacing w:before="0" w:after="0" w:line="360" w:lineRule="exact"/>
      <w:jc w:val="center"/>
    </w:pPr>
    <w:rPr>
      <w:b/>
      <w:sz w:val="32"/>
    </w:rPr>
  </w:style>
  <w:style w:type="paragraph" w:customStyle="1" w:styleId="ManualNumPar1">
    <w:name w:val="Manual NumPar 1"/>
    <w:basedOn w:val="Normal"/>
    <w:next w:val="Normal"/>
    <w:pPr>
      <w:ind w:left="851" w:hanging="851"/>
      <w:jc w:val="both"/>
    </w:pPr>
    <w:rPr>
      <w:rFonts w:ascii="Times New Roman" w:hAnsi="Times New Roman"/>
      <w:sz w:val="24"/>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rFonts w:ascii="Times New Roman" w:hAnsi="Times New Roman"/>
      <w:bCs/>
      <w:iCs/>
      <w:sz w:val="24"/>
      <w:szCs w:val="24"/>
    </w:rPr>
  </w:style>
  <w:style w:type="character" w:customStyle="1" w:styleId="Heading2Char">
    <w:name w:val="Heading 2 Char"/>
    <w:link w:val="Heading2"/>
    <w:semiHidden/>
    <w:locked/>
    <w:rsid w:val="0047783A"/>
    <w:rPr>
      <w:rFonts w:ascii="Arial" w:hAnsi="Arial"/>
      <w:snapToGrid w:val="0"/>
      <w:lang w:val="fr-FR" w:eastAsia="en-US" w:bidi="ar-SA"/>
    </w:rPr>
  </w:style>
  <w:style w:type="character" w:customStyle="1" w:styleId="Heading1Char1">
    <w:name w:val="Heading 1 Char1"/>
    <w:link w:val="Heading1"/>
    <w:rsid w:val="0047783A"/>
    <w:rPr>
      <w:rFonts w:ascii="Arial" w:hAnsi="Arial"/>
      <w:b/>
      <w:snapToGrid w:val="0"/>
      <w:lang w:val="fr-FR" w:eastAsia="en-US" w:bidi="ar-SA"/>
    </w:rPr>
  </w:style>
  <w:style w:type="character" w:customStyle="1" w:styleId="Heading1Char">
    <w:name w:val="Heading 1 Char"/>
    <w:locked/>
    <w:rsid w:val="0047783A"/>
    <w:rPr>
      <w:b/>
      <w:sz w:val="24"/>
      <w:szCs w:val="24"/>
      <w:lang w:val="fr-FR" w:eastAsia="en-US" w:bidi="ar-SA"/>
    </w:rPr>
  </w:style>
  <w:style w:type="character" w:customStyle="1" w:styleId="Heading3Char">
    <w:name w:val="Heading 3 Char"/>
    <w:link w:val="Heading3"/>
    <w:semiHidden/>
    <w:locked/>
    <w:rsid w:val="0047783A"/>
    <w:rPr>
      <w:rFonts w:ascii="Arial" w:hAnsi="Arial"/>
      <w:snapToGrid w:val="0"/>
      <w:lang w:val="fr-FR" w:eastAsia="en-US" w:bidi="ar-SA"/>
    </w:rPr>
  </w:style>
  <w:style w:type="character" w:customStyle="1" w:styleId="Heading4Char">
    <w:name w:val="Heading 4 Char"/>
    <w:link w:val="Heading4"/>
    <w:semiHidden/>
    <w:locked/>
    <w:rsid w:val="0047783A"/>
    <w:rPr>
      <w:rFonts w:ascii="Arial" w:hAnsi="Arial"/>
      <w:b/>
      <w:snapToGrid w:val="0"/>
      <w:sz w:val="24"/>
      <w:lang w:val="fr-FR" w:eastAsia="en-US" w:bidi="ar-SA"/>
    </w:rPr>
  </w:style>
  <w:style w:type="character" w:customStyle="1" w:styleId="Heading5Char">
    <w:name w:val="Heading 5 Char"/>
    <w:link w:val="Heading5"/>
    <w:semiHidden/>
    <w:locked/>
    <w:rsid w:val="0047783A"/>
    <w:rPr>
      <w:rFonts w:ascii="Arial" w:hAnsi="Arial"/>
      <w:snapToGrid w:val="0"/>
      <w:sz w:val="22"/>
      <w:lang w:val="fr-FR" w:eastAsia="en-US" w:bidi="ar-SA"/>
    </w:rPr>
  </w:style>
  <w:style w:type="character" w:customStyle="1" w:styleId="Heading6Char">
    <w:name w:val="Heading 6 Char"/>
    <w:link w:val="Heading6"/>
    <w:semiHidden/>
    <w:locked/>
    <w:rsid w:val="0047783A"/>
    <w:rPr>
      <w:rFonts w:ascii="Arial" w:hAnsi="Arial"/>
      <w:i/>
      <w:snapToGrid w:val="0"/>
      <w:sz w:val="22"/>
      <w:lang w:val="fr-FR" w:eastAsia="en-US" w:bidi="ar-SA"/>
    </w:rPr>
  </w:style>
  <w:style w:type="character" w:customStyle="1" w:styleId="Heading7Char">
    <w:name w:val="Heading 7 Char"/>
    <w:link w:val="Heading7"/>
    <w:semiHidden/>
    <w:locked/>
    <w:rsid w:val="0047783A"/>
    <w:rPr>
      <w:rFonts w:ascii="Arial" w:hAnsi="Arial"/>
      <w:snapToGrid w:val="0"/>
      <w:lang w:val="fr-FR" w:eastAsia="en-US" w:bidi="ar-SA"/>
    </w:rPr>
  </w:style>
  <w:style w:type="character" w:customStyle="1" w:styleId="Heading8Char">
    <w:name w:val="Heading 8 Char"/>
    <w:link w:val="Heading8"/>
    <w:semiHidden/>
    <w:locked/>
    <w:rsid w:val="0047783A"/>
    <w:rPr>
      <w:rFonts w:ascii="Arial" w:hAnsi="Arial"/>
      <w:i/>
      <w:snapToGrid w:val="0"/>
      <w:lang w:val="fr-FR" w:eastAsia="en-US" w:bidi="ar-SA"/>
    </w:rPr>
  </w:style>
  <w:style w:type="character" w:customStyle="1" w:styleId="Heading9Char">
    <w:name w:val="Heading 9 Char"/>
    <w:link w:val="Heading9"/>
    <w:semiHidden/>
    <w:locked/>
    <w:rsid w:val="0047783A"/>
    <w:rPr>
      <w:rFonts w:ascii="Arial" w:hAnsi="Arial"/>
      <w:b/>
      <w:i/>
      <w:snapToGrid w:val="0"/>
      <w:sz w:val="18"/>
      <w:lang w:val="fr-FR" w:eastAsia="en-US" w:bidi="ar-SA"/>
    </w:rPr>
  </w:style>
  <w:style w:type="character" w:customStyle="1" w:styleId="TitleChar">
    <w:name w:val="Title Char"/>
    <w:link w:val="Title"/>
    <w:locked/>
    <w:rsid w:val="0047783A"/>
    <w:rPr>
      <w:rFonts w:ascii="Arial" w:hAnsi="Arial"/>
      <w:b/>
      <w:snapToGrid w:val="0"/>
      <w:sz w:val="28"/>
      <w:lang w:val="fr-FR" w:eastAsia="en-US" w:bidi="ar-SA"/>
    </w:rPr>
  </w:style>
  <w:style w:type="character" w:customStyle="1" w:styleId="SubtitleChar">
    <w:name w:val="Subtitle Char"/>
    <w:link w:val="Subtitle"/>
    <w:locked/>
    <w:rsid w:val="0047783A"/>
    <w:rPr>
      <w:rFonts w:ascii="Arial" w:hAnsi="Arial"/>
      <w:b/>
      <w:snapToGrid w:val="0"/>
      <w:sz w:val="28"/>
      <w:lang w:val="fr-FR" w:eastAsia="en-US" w:bidi="ar-SA"/>
    </w:rPr>
  </w:style>
  <w:style w:type="character" w:customStyle="1" w:styleId="BodyTextIndentChar">
    <w:name w:val="Body Text Indent Char"/>
    <w:link w:val="BodyTextIndent"/>
    <w:semiHidden/>
    <w:locked/>
    <w:rsid w:val="0047783A"/>
    <w:rPr>
      <w:snapToGrid w:val="0"/>
      <w:sz w:val="24"/>
      <w:lang w:val="fr-FR" w:eastAsia="en-US" w:bidi="ar-SA"/>
    </w:rPr>
  </w:style>
  <w:style w:type="character" w:customStyle="1" w:styleId="BodyTextChar">
    <w:name w:val="Body Text Char"/>
    <w:link w:val="BodyText"/>
    <w:semiHidden/>
    <w:locked/>
    <w:rsid w:val="0047783A"/>
    <w:rPr>
      <w:rFonts w:ascii="Arial" w:hAnsi="Arial"/>
      <w:snapToGrid w:val="0"/>
      <w:lang w:val="fr-FR"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fr-FR" w:eastAsia="en-US" w:bidi="ar-SA"/>
    </w:rPr>
  </w:style>
  <w:style w:type="character" w:customStyle="1" w:styleId="BodyTextIndent3Char">
    <w:name w:val="Body Text Indent 3 Char"/>
    <w:link w:val="BodyTextIndent3"/>
    <w:semiHidden/>
    <w:locked/>
    <w:rsid w:val="0047783A"/>
    <w:rPr>
      <w:rFonts w:ascii="Arial" w:hAnsi="Arial"/>
      <w:snapToGrid w:val="0"/>
      <w:sz w:val="24"/>
      <w:lang w:val="fr-FR" w:eastAsia="en-US" w:bidi="ar-SA"/>
    </w:rPr>
  </w:style>
  <w:style w:type="character" w:customStyle="1" w:styleId="HeaderChar">
    <w:name w:val="Header Char"/>
    <w:link w:val="Header"/>
    <w:semiHidden/>
    <w:locked/>
    <w:rsid w:val="0047783A"/>
    <w:rPr>
      <w:rFonts w:ascii="Arial" w:hAnsi="Arial"/>
      <w:snapToGrid w:val="0"/>
      <w:lang w:val="fr-FR" w:eastAsia="en-US" w:bidi="ar-SA"/>
    </w:rPr>
  </w:style>
  <w:style w:type="character" w:customStyle="1" w:styleId="FooterChar">
    <w:name w:val="Footer Char"/>
    <w:link w:val="Footer"/>
    <w:semiHidden/>
    <w:locked/>
    <w:rsid w:val="0047783A"/>
    <w:rPr>
      <w:rFonts w:ascii="Arial" w:hAnsi="Arial"/>
      <w:snapToGrid w:val="0"/>
      <w:lang w:val="fr-FR" w:eastAsia="en-US" w:bidi="ar-SA"/>
    </w:rPr>
  </w:style>
  <w:style w:type="character" w:customStyle="1" w:styleId="BodyText3Char">
    <w:name w:val="Body Text 3 Char"/>
    <w:link w:val="BodyText3"/>
    <w:semiHidden/>
    <w:locked/>
    <w:rsid w:val="0047783A"/>
    <w:rPr>
      <w:rFonts w:ascii="Arial" w:hAnsi="Arial"/>
      <w:b/>
      <w:snapToGrid w:val="0"/>
      <w:sz w:val="24"/>
      <w:lang w:val="fr-FR" w:eastAsia="en-US" w:bidi="ar-SA"/>
    </w:rPr>
  </w:style>
  <w:style w:type="character" w:customStyle="1" w:styleId="FootnoteTextChar">
    <w:name w:val="Footnote Text Char"/>
    <w:link w:val="FootnoteText"/>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fr-FR"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rPr>
  </w:style>
  <w:style w:type="character" w:styleId="CommentReference">
    <w:name w:val="annotation reference"/>
    <w:semiHidden/>
    <w:rsid w:val="00EE23B1"/>
    <w:rPr>
      <w:sz w:val="16"/>
      <w:szCs w:val="16"/>
    </w:rPr>
  </w:style>
  <w:style w:type="paragraph" w:styleId="CommentText">
    <w:name w:val="annotation text"/>
    <w:basedOn w:val="Normal"/>
    <w:semiHidden/>
    <w:rsid w:val="00EE23B1"/>
  </w:style>
  <w:style w:type="paragraph" w:styleId="CommentSubject">
    <w:name w:val="annotation subject"/>
    <w:basedOn w:val="CommentText"/>
    <w:next w:val="CommentText"/>
    <w:semiHidden/>
    <w:rsid w:val="00EE23B1"/>
    <w:rPr>
      <w:b/>
      <w:bCs/>
    </w:rPr>
  </w:style>
  <w:style w:type="paragraph" w:customStyle="1" w:styleId="Text1">
    <w:name w:val="Text 1"/>
    <w:basedOn w:val="Normal"/>
    <w:link w:val="Text1Char"/>
    <w:qFormat/>
    <w:rsid w:val="005D0808"/>
    <w:pPr>
      <w:ind w:left="850"/>
      <w:jc w:val="both"/>
    </w:pPr>
    <w:rPr>
      <w:rFonts w:ascii="Times New Roman" w:eastAsia="Calibri" w:hAnsi="Times New Roman"/>
      <w:snapToGrid/>
      <w:sz w:val="24"/>
      <w:szCs w:val="22"/>
    </w:rPr>
  </w:style>
  <w:style w:type="character" w:customStyle="1" w:styleId="Text1Char">
    <w:name w:val="Text 1 Char"/>
    <w:link w:val="Text1"/>
    <w:rsid w:val="005D0808"/>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2407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B374FF-23F3-41CF-AD1E-312B77FAD450}">
  <ds:schemaRefs>
    <ds:schemaRef ds:uri="http://schemas.openxmlformats.org/officeDocument/2006/bibliography"/>
  </ds:schemaRefs>
</ds:datastoreItem>
</file>

<file path=customXml/itemProps2.xml><?xml version="1.0" encoding="utf-8"?>
<ds:datastoreItem xmlns:ds="http://schemas.openxmlformats.org/officeDocument/2006/customXml" ds:itemID="{6D7D4FBC-6243-4789-B4EB-3D659DC624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D413D0-7603-4938-8AD4-826D744A6C62}">
  <ds:schemaRefs>
    <ds:schemaRef ds:uri="http://schemas.microsoft.com/sharepoint/v3/contenttype/forms"/>
  </ds:schemaRefs>
</ds:datastoreItem>
</file>

<file path=customXml/itemProps4.xml><?xml version="1.0" encoding="utf-8"?>
<ds:datastoreItem xmlns:ds="http://schemas.openxmlformats.org/officeDocument/2006/customXml" ds:itemID="{4A31AFCE-311D-4EC5-87FA-3285ACEC7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AL Thermil</cp:lastModifiedBy>
  <cp:revision>7</cp:revision>
  <cp:lastPrinted>2026-04-28T14:22:00Z</cp:lastPrinted>
  <dcterms:created xsi:type="dcterms:W3CDTF">2021-10-08T15:07:00Z</dcterms:created>
  <dcterms:modified xsi:type="dcterms:W3CDTF">2026-04-28T14:22:00Z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