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16F6" w14:textId="77777777" w:rsidR="0047783A" w:rsidRPr="003D6B6C" w:rsidRDefault="0047783A" w:rsidP="00035D61">
      <w:pPr>
        <w:pStyle w:val="Heading1"/>
        <w:keepNext w:val="0"/>
        <w:numPr>
          <w:ilvl w:val="0"/>
          <w:numId w:val="0"/>
        </w:numPr>
        <w:jc w:val="center"/>
        <w:rPr>
          <w:rFonts w:ascii="Times New Roman" w:hAnsi="Times New Roman"/>
          <w:i/>
          <w:sz w:val="28"/>
          <w:szCs w:val="28"/>
        </w:rPr>
      </w:pPr>
      <w:bookmarkStart w:id="0" w:name="_Toc42488096"/>
      <w:r>
        <w:rPr>
          <w:rFonts w:ascii="Times New Roman" w:hAnsi="Times New Roman"/>
          <w:i/>
          <w:sz w:val="28"/>
          <w:szCs w:val="28"/>
        </w:rPr>
        <w:t>CONDITIONS PARTICULIÈRES</w:t>
      </w:r>
      <w:bookmarkEnd w:id="0"/>
    </w:p>
    <w:p w14:paraId="1334B0B7" w14:textId="77777777" w:rsidR="0047783A" w:rsidRPr="003D6B6C" w:rsidRDefault="0047783A" w:rsidP="0047783A">
      <w:pPr>
        <w:spacing w:before="240"/>
        <w:ind w:left="567" w:hanging="567"/>
        <w:outlineLvl w:val="0"/>
        <w:rPr>
          <w:rFonts w:ascii="Times New Roman" w:hAnsi="Times New Roman"/>
          <w:b/>
          <w:sz w:val="28"/>
          <w:szCs w:val="28"/>
        </w:rPr>
      </w:pPr>
      <w:r>
        <w:rPr>
          <w:rFonts w:ascii="Times New Roman" w:hAnsi="Times New Roman"/>
          <w:b/>
          <w:sz w:val="28"/>
          <w:szCs w:val="28"/>
        </w:rPr>
        <w:t>TABLE DES MATIÈRES</w:t>
      </w:r>
    </w:p>
    <w:p w14:paraId="676C0BAF" w14:textId="77777777" w:rsidR="0047783A" w:rsidRPr="003D6B6C" w:rsidRDefault="0047783A" w:rsidP="0047783A">
      <w:pPr>
        <w:jc w:val="both"/>
        <w:rPr>
          <w:rFonts w:ascii="Times New Roman" w:hAnsi="Times New Roman"/>
          <w:sz w:val="22"/>
          <w:szCs w:val="22"/>
        </w:rPr>
      </w:pPr>
      <w:r>
        <w:rPr>
          <w:rFonts w:ascii="Times New Roman" w:hAnsi="Times New Roman"/>
          <w:sz w:val="22"/>
          <w:szCs w:val="22"/>
        </w:rPr>
        <w:t>Les présentes conditions particulières précisent et complètent, au besoin, les dispositions des conditions générales applicables au marché. Sauf si les conditions particulières en disposent autrement, les dispositions des conditions générales susmentionnées demeurent pleinement applicables. La numérotation des articles des conditions particulières n’est pas consécutive et suit la numérotation des articles des conditions générales. À titre exceptionnel et avec l’autorisation des services compétents de la Commission, d’autres clauses peuvent être introduites pour couvrir des situations particulières.</w:t>
      </w:r>
    </w:p>
    <w:p w14:paraId="66E2A106" w14:textId="77777777" w:rsidR="0047783A" w:rsidRPr="003D6B6C" w:rsidRDefault="0047783A" w:rsidP="00B34179">
      <w:pPr>
        <w:spacing w:before="240"/>
        <w:ind w:left="1134" w:hanging="1134"/>
        <w:jc w:val="both"/>
        <w:rPr>
          <w:rFonts w:ascii="Times New Roman" w:hAnsi="Times New Roman"/>
          <w:b/>
          <w:sz w:val="24"/>
          <w:szCs w:val="24"/>
        </w:rPr>
      </w:pPr>
      <w:r>
        <w:rPr>
          <w:rFonts w:ascii="Times New Roman" w:hAnsi="Times New Roman"/>
          <w:b/>
          <w:sz w:val="24"/>
          <w:szCs w:val="24"/>
        </w:rPr>
        <w:t>Article 2</w:t>
      </w:r>
      <w:r>
        <w:rPr>
          <w:rFonts w:ascii="Times New Roman" w:hAnsi="Times New Roman"/>
          <w:b/>
          <w:sz w:val="24"/>
          <w:szCs w:val="24"/>
        </w:rPr>
        <w:tab/>
      </w:r>
      <w:bookmarkStart w:id="1" w:name="_Toc124934896"/>
      <w:r>
        <w:rPr>
          <w:rFonts w:ascii="Times New Roman" w:hAnsi="Times New Roman"/>
          <w:b/>
          <w:sz w:val="24"/>
          <w:szCs w:val="24"/>
        </w:rPr>
        <w:t>L</w:t>
      </w:r>
      <w:bookmarkEnd w:id="1"/>
      <w:r>
        <w:rPr>
          <w:rFonts w:ascii="Times New Roman" w:hAnsi="Times New Roman"/>
          <w:b/>
          <w:sz w:val="24"/>
          <w:szCs w:val="24"/>
        </w:rPr>
        <w:t>angue du marché</w:t>
      </w:r>
    </w:p>
    <w:p w14:paraId="1F484843" w14:textId="77777777" w:rsidR="0047783A" w:rsidRPr="003D6B6C" w:rsidRDefault="0047783A" w:rsidP="004F7A0E">
      <w:pPr>
        <w:ind w:left="1134" w:hanging="567"/>
        <w:rPr>
          <w:rFonts w:ascii="Times New Roman" w:hAnsi="Times New Roman"/>
          <w:sz w:val="22"/>
          <w:szCs w:val="22"/>
        </w:rPr>
      </w:pPr>
      <w:r>
        <w:rPr>
          <w:rFonts w:ascii="Times New Roman" w:hAnsi="Times New Roman"/>
          <w:sz w:val="22"/>
          <w:szCs w:val="22"/>
        </w:rPr>
        <w:t>2.1</w:t>
      </w:r>
      <w:r>
        <w:rPr>
          <w:rFonts w:ascii="Times New Roman" w:hAnsi="Times New Roman"/>
          <w:sz w:val="22"/>
          <w:szCs w:val="22"/>
        </w:rPr>
        <w:tab/>
        <w:t>La langue utilisée est le français.</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2" w:name="_Toc124934897"/>
      <w:r>
        <w:rPr>
          <w:rFonts w:ascii="Times New Roman" w:hAnsi="Times New Roman"/>
          <w:b/>
          <w:sz w:val="24"/>
          <w:szCs w:val="24"/>
        </w:rPr>
        <w:t>Article 4</w:t>
      </w:r>
      <w:r>
        <w:rPr>
          <w:rFonts w:ascii="Times New Roman" w:hAnsi="Times New Roman"/>
          <w:b/>
          <w:sz w:val="24"/>
          <w:szCs w:val="24"/>
        </w:rPr>
        <w:tab/>
        <w:t>Communications</w:t>
      </w:r>
      <w:bookmarkEnd w:id="2"/>
    </w:p>
    <w:p w14:paraId="4DA27578" w14:textId="63E0E780" w:rsidR="00132DB5" w:rsidRPr="00132DB5" w:rsidRDefault="000724EA" w:rsidP="00CD00D8">
      <w:pPr>
        <w:ind w:left="1124" w:hanging="562"/>
        <w:contextualSpacing/>
        <w:rPr>
          <w:rFonts w:ascii="Times New Roman" w:hAnsi="Times New Roman"/>
          <w:b/>
          <w:bCs/>
          <w:sz w:val="22"/>
          <w:szCs w:val="22"/>
          <w:lang w:val="fr"/>
        </w:rPr>
      </w:pPr>
      <w:r>
        <w:rPr>
          <w:rFonts w:ascii="Times New Roman" w:hAnsi="Times New Roman"/>
          <w:sz w:val="22"/>
          <w:szCs w:val="22"/>
        </w:rPr>
        <w:t>4.1</w:t>
      </w:r>
      <w:r>
        <w:rPr>
          <w:rFonts w:ascii="Times New Roman" w:hAnsi="Times New Roman"/>
          <w:sz w:val="22"/>
          <w:szCs w:val="22"/>
        </w:rPr>
        <w:tab/>
      </w:r>
      <w:r w:rsidR="00BE1771">
        <w:rPr>
          <w:rFonts w:ascii="Times New Roman" w:hAnsi="Times New Roman"/>
          <w:b/>
          <w:bCs/>
          <w:sz w:val="22"/>
          <w:szCs w:val="22"/>
          <w:lang w:val="fr"/>
        </w:rPr>
        <w:t>PMSAN</w:t>
      </w:r>
      <w:r w:rsidR="00AF394C">
        <w:rPr>
          <w:rFonts w:ascii="Times New Roman" w:hAnsi="Times New Roman"/>
          <w:b/>
          <w:bCs/>
          <w:sz w:val="22"/>
          <w:szCs w:val="22"/>
          <w:lang w:val="fr"/>
        </w:rPr>
        <w:t>2</w:t>
      </w:r>
      <w:r w:rsidR="00132DB5" w:rsidRPr="00132DB5">
        <w:rPr>
          <w:rFonts w:ascii="Times New Roman" w:hAnsi="Times New Roman"/>
          <w:b/>
          <w:bCs/>
          <w:sz w:val="22"/>
          <w:szCs w:val="22"/>
          <w:lang w:val="fr"/>
        </w:rPr>
        <w:t>,</w:t>
      </w:r>
    </w:p>
    <w:p w14:paraId="6C8157A1" w14:textId="77777777" w:rsidR="00132DB5" w:rsidRPr="00132DB5" w:rsidRDefault="00132DB5" w:rsidP="00CD00D8">
      <w:pPr>
        <w:ind w:left="1124" w:hanging="562"/>
        <w:contextualSpacing/>
        <w:rPr>
          <w:rFonts w:ascii="Times New Roman" w:hAnsi="Times New Roman"/>
          <w:b/>
          <w:bCs/>
          <w:sz w:val="22"/>
          <w:szCs w:val="22"/>
          <w:lang w:val="fr"/>
        </w:rPr>
      </w:pPr>
      <w:r w:rsidRPr="00132DB5">
        <w:rPr>
          <w:rFonts w:ascii="Times New Roman" w:hAnsi="Times New Roman"/>
          <w:b/>
          <w:bCs/>
          <w:sz w:val="22"/>
          <w:szCs w:val="22"/>
          <w:lang w:val="fr"/>
        </w:rPr>
        <w:t xml:space="preserve">        19, Rue Pinchinat Petion-Ville, Haiti</w:t>
      </w:r>
    </w:p>
    <w:p w14:paraId="390BAFED" w14:textId="77777777" w:rsidR="00132DB5" w:rsidRPr="00132DB5" w:rsidRDefault="00132DB5" w:rsidP="00CD00D8">
      <w:pPr>
        <w:ind w:left="1124" w:hanging="562"/>
        <w:contextualSpacing/>
        <w:rPr>
          <w:rFonts w:ascii="Times New Roman" w:hAnsi="Times New Roman"/>
          <w:b/>
          <w:bCs/>
          <w:sz w:val="22"/>
          <w:szCs w:val="22"/>
          <w:lang w:val="fr"/>
        </w:rPr>
      </w:pPr>
      <w:r w:rsidRPr="00132DB5">
        <w:rPr>
          <w:rFonts w:ascii="Times New Roman" w:hAnsi="Times New Roman"/>
          <w:b/>
          <w:bCs/>
          <w:sz w:val="22"/>
          <w:szCs w:val="22"/>
          <w:lang w:val="fr"/>
        </w:rPr>
        <w:t xml:space="preserve">          Tel : +50934553301</w:t>
      </w:r>
    </w:p>
    <w:p w14:paraId="794DFE9C" w14:textId="0010F9F4" w:rsidR="0047783A" w:rsidRDefault="00132DB5" w:rsidP="00CD00D8">
      <w:pPr>
        <w:ind w:left="1124" w:hanging="562"/>
        <w:contextualSpacing/>
        <w:rPr>
          <w:rFonts w:ascii="Times New Roman" w:hAnsi="Times New Roman"/>
          <w:sz w:val="22"/>
          <w:szCs w:val="22"/>
        </w:rPr>
      </w:pPr>
      <w:r w:rsidRPr="00132DB5">
        <w:rPr>
          <w:rFonts w:ascii="Times New Roman" w:hAnsi="Times New Roman"/>
          <w:b/>
          <w:bCs/>
          <w:sz w:val="22"/>
          <w:szCs w:val="22"/>
          <w:lang w:val="fr"/>
        </w:rPr>
        <w:t xml:space="preserve">       E-mail :  </w:t>
      </w:r>
      <w:hyperlink r:id="rId8" w:history="1">
        <w:r w:rsidR="00AF394C" w:rsidRPr="0046427A">
          <w:rPr>
            <w:rStyle w:val="Hyperlink"/>
            <w:rFonts w:ascii="Times New Roman" w:hAnsi="Times New Roman"/>
            <w:b/>
            <w:bCs/>
            <w:sz w:val="22"/>
            <w:szCs w:val="22"/>
            <w:lang w:val="fr"/>
          </w:rPr>
          <w:t>pmsan.marches@gmail.com</w:t>
        </w:r>
      </w:hyperlink>
      <w:r w:rsidR="00AF394C">
        <w:rPr>
          <w:rFonts w:ascii="Times New Roman" w:hAnsi="Times New Roman"/>
          <w:b/>
          <w:bCs/>
          <w:sz w:val="22"/>
          <w:szCs w:val="22"/>
          <w:lang w:val="fr"/>
        </w:rPr>
        <w:t xml:space="preserve"> </w:t>
      </w:r>
    </w:p>
    <w:p w14:paraId="402D9C62" w14:textId="77777777" w:rsidR="006D3DE4" w:rsidRPr="006D3DE4" w:rsidRDefault="006D3DE4" w:rsidP="00C73F87">
      <w:pPr>
        <w:ind w:left="1134" w:hanging="567"/>
        <w:jc w:val="both"/>
        <w:rPr>
          <w:rFonts w:ascii="Times New Roman" w:hAnsi="Times New Roman"/>
          <w:sz w:val="22"/>
          <w:szCs w:val="22"/>
        </w:rPr>
      </w:pPr>
      <w:r>
        <w:rPr>
          <w:rFonts w:ascii="Times New Roman" w:hAnsi="Times New Roman"/>
          <w:sz w:val="22"/>
          <w:szCs w:val="22"/>
        </w:rPr>
        <w:t>4.2</w:t>
      </w:r>
      <w:r>
        <w:rPr>
          <w:rFonts w:ascii="Times New Roman" w:hAnsi="Times New Roman"/>
          <w:sz w:val="22"/>
          <w:szCs w:val="22"/>
        </w:rPr>
        <w:tab/>
        <w:t>Le pouvoir adjudicateur et le contractant utilisent un système électronique à toutes les étapes de l’exécution du marché, y compris, notamment, pour la gestion du marché (modifications et ordres de service), l’élaboration de rapports (y compris sur les résultats) et les paiements.  Le contractant est tenu de s’inscrire sur le système d’échange électronique approprié et d’en faire usage pour assurer la gestion électronique du marché.</w:t>
      </w:r>
    </w:p>
    <w:p w14:paraId="30D5433B" w14:textId="77777777" w:rsidR="006D3DE4" w:rsidRPr="003D6B6C" w:rsidRDefault="006D3DE4" w:rsidP="00C73F87">
      <w:pPr>
        <w:ind w:left="1134" w:hanging="567"/>
        <w:jc w:val="both"/>
        <w:rPr>
          <w:rFonts w:ascii="Times New Roman" w:hAnsi="Times New Roman"/>
          <w:sz w:val="22"/>
          <w:szCs w:val="22"/>
        </w:rPr>
      </w:pPr>
      <w:r>
        <w:rPr>
          <w:rFonts w:ascii="Times New Roman" w:hAnsi="Times New Roman"/>
          <w:sz w:val="22"/>
          <w:szCs w:val="22"/>
        </w:rPr>
        <w:tab/>
        <w:t>La gestion électronique du marché au moyen du système susmentionné peut débuter à la date du début de l’exécution du marché, comme décrit à l’article 18 ci-dessous, ou à une date ultérieure. Dans ce dernier cas, le pouvoir adjudicateur informe le contractant par écrit de son obligation d’utiliser le système électronique pour toutes les communications dans un délai maximal de trois mois.</w:t>
      </w:r>
    </w:p>
    <w:p w14:paraId="0080E9EE" w14:textId="77777777" w:rsidR="0047783A" w:rsidRPr="008B3123" w:rsidRDefault="0049293D" w:rsidP="004F7A0E">
      <w:pPr>
        <w:spacing w:before="240"/>
        <w:ind w:left="1134" w:hanging="1134"/>
        <w:jc w:val="both"/>
        <w:rPr>
          <w:rFonts w:ascii="Times New Roman" w:hAnsi="Times New Roman"/>
          <w:b/>
          <w:sz w:val="24"/>
          <w:szCs w:val="24"/>
        </w:rPr>
      </w:pPr>
      <w:r w:rsidRPr="008B3123">
        <w:rPr>
          <w:rFonts w:ascii="Times New Roman" w:hAnsi="Times New Roman"/>
          <w:b/>
          <w:sz w:val="24"/>
          <w:szCs w:val="24"/>
        </w:rPr>
        <w:t>[Article 6</w:t>
      </w:r>
      <w:r w:rsidRPr="008B3123">
        <w:rPr>
          <w:rFonts w:ascii="Times New Roman" w:hAnsi="Times New Roman"/>
          <w:b/>
          <w:sz w:val="24"/>
          <w:szCs w:val="24"/>
        </w:rPr>
        <w:tab/>
        <w:t>Sous-traitance</w:t>
      </w:r>
    </w:p>
    <w:p w14:paraId="6C9B0B7A" w14:textId="485A6D33" w:rsidR="0047783A" w:rsidRPr="003D6B6C" w:rsidRDefault="00923EDA" w:rsidP="004F7A0E">
      <w:pPr>
        <w:widowControl w:val="0"/>
        <w:ind w:left="1134" w:hanging="567"/>
        <w:jc w:val="both"/>
        <w:rPr>
          <w:rFonts w:ascii="Times New Roman" w:hAnsi="Times New Roman"/>
          <w:sz w:val="22"/>
          <w:szCs w:val="22"/>
        </w:rPr>
      </w:pPr>
      <w:r w:rsidRPr="008B3123">
        <w:rPr>
          <w:rFonts w:ascii="Times New Roman" w:hAnsi="Times New Roman"/>
          <w:sz w:val="22"/>
          <w:szCs w:val="22"/>
        </w:rPr>
        <w:t>6.3</w:t>
      </w:r>
      <w:r w:rsidRPr="008B3123">
        <w:rPr>
          <w:rFonts w:ascii="Times New Roman" w:hAnsi="Times New Roman"/>
          <w:sz w:val="22"/>
          <w:szCs w:val="22"/>
        </w:rPr>
        <w:tab/>
      </w:r>
      <w:r w:rsidR="008B3123">
        <w:rPr>
          <w:rFonts w:ascii="Times New Roman" w:hAnsi="Times New Roman"/>
          <w:sz w:val="22"/>
          <w:szCs w:val="22"/>
        </w:rPr>
        <w:t>N/A</w:t>
      </w:r>
    </w:p>
    <w:p w14:paraId="1314341F" w14:textId="77777777" w:rsidR="0047783A" w:rsidRPr="003D6B6C" w:rsidRDefault="0047783A" w:rsidP="00B34179">
      <w:pPr>
        <w:spacing w:before="240"/>
        <w:ind w:left="1134" w:hanging="1134"/>
        <w:jc w:val="both"/>
        <w:rPr>
          <w:rFonts w:ascii="Times New Roman" w:hAnsi="Times New Roman"/>
          <w:b/>
          <w:sz w:val="24"/>
          <w:szCs w:val="24"/>
        </w:rPr>
      </w:pPr>
      <w:bookmarkStart w:id="3" w:name="_Toc124934898"/>
      <w:r>
        <w:rPr>
          <w:rFonts w:ascii="Times New Roman" w:hAnsi="Times New Roman"/>
          <w:b/>
          <w:sz w:val="24"/>
          <w:szCs w:val="24"/>
        </w:rPr>
        <w:t>Article 7</w:t>
      </w:r>
      <w:r>
        <w:rPr>
          <w:rFonts w:ascii="Times New Roman" w:hAnsi="Times New Roman"/>
          <w:b/>
          <w:sz w:val="24"/>
          <w:szCs w:val="24"/>
        </w:rPr>
        <w:tab/>
        <w:t>Documents à fournir</w:t>
      </w:r>
      <w:bookmarkEnd w:id="3"/>
    </w:p>
    <w:p w14:paraId="0A26F07E" w14:textId="77777777" w:rsidR="00CE259E" w:rsidRPr="00CE259E" w:rsidRDefault="00CE259E" w:rsidP="001A632A">
      <w:pPr>
        <w:spacing w:before="240"/>
        <w:ind w:left="1134" w:hanging="1134"/>
        <w:contextualSpacing/>
        <w:jc w:val="both"/>
        <w:rPr>
          <w:rFonts w:ascii="Times New Roman" w:hAnsi="Times New Roman"/>
          <w:sz w:val="22"/>
          <w:szCs w:val="22"/>
          <w:lang w:val="fr"/>
        </w:rPr>
      </w:pPr>
      <w:bookmarkStart w:id="4" w:name="_Toc124934899"/>
      <w:r w:rsidRPr="00CE259E">
        <w:rPr>
          <w:rFonts w:ascii="Times New Roman" w:hAnsi="Times New Roman"/>
          <w:sz w:val="22"/>
          <w:szCs w:val="22"/>
          <w:lang w:val="fr"/>
        </w:rPr>
        <w:t>Le fournisseur devra fournir :</w:t>
      </w:r>
    </w:p>
    <w:p w14:paraId="12E4C4A7" w14:textId="77777777" w:rsidR="00CE259E" w:rsidRPr="00CE259E" w:rsidRDefault="00CE259E" w:rsidP="001A632A">
      <w:pPr>
        <w:numPr>
          <w:ilvl w:val="0"/>
          <w:numId w:val="25"/>
        </w:numPr>
        <w:spacing w:before="240"/>
        <w:contextualSpacing/>
        <w:jc w:val="both"/>
        <w:rPr>
          <w:rFonts w:ascii="Times New Roman" w:hAnsi="Times New Roman"/>
          <w:b/>
          <w:bCs/>
          <w:sz w:val="22"/>
          <w:szCs w:val="22"/>
          <w:lang w:val="fr"/>
        </w:rPr>
      </w:pPr>
      <w:proofErr w:type="gramStart"/>
      <w:r w:rsidRPr="00CE259E">
        <w:rPr>
          <w:rFonts w:ascii="Times New Roman" w:hAnsi="Times New Roman"/>
          <w:sz w:val="22"/>
          <w:szCs w:val="22"/>
          <w:lang w:val="fr"/>
        </w:rPr>
        <w:t>les</w:t>
      </w:r>
      <w:proofErr w:type="gramEnd"/>
      <w:r w:rsidRPr="00CE259E">
        <w:rPr>
          <w:rFonts w:ascii="Times New Roman" w:hAnsi="Times New Roman"/>
          <w:sz w:val="22"/>
          <w:szCs w:val="22"/>
          <w:lang w:val="fr"/>
        </w:rPr>
        <w:t xml:space="preserve"> manuels d’utilisation techniques des véhicules en français sous format papier ou CD ou DVD,</w:t>
      </w:r>
    </w:p>
    <w:p w14:paraId="6D58FAF4" w14:textId="77777777" w:rsidR="00CE259E" w:rsidRPr="00CE259E" w:rsidRDefault="00CE259E" w:rsidP="001A632A">
      <w:pPr>
        <w:numPr>
          <w:ilvl w:val="0"/>
          <w:numId w:val="25"/>
        </w:numPr>
        <w:spacing w:before="240"/>
        <w:contextualSpacing/>
        <w:jc w:val="both"/>
        <w:rPr>
          <w:rFonts w:ascii="Times New Roman" w:hAnsi="Times New Roman"/>
          <w:sz w:val="22"/>
          <w:szCs w:val="22"/>
          <w:lang w:val="fr"/>
        </w:rPr>
      </w:pPr>
      <w:proofErr w:type="gramStart"/>
      <w:r w:rsidRPr="00CE259E">
        <w:rPr>
          <w:rFonts w:ascii="Times New Roman" w:hAnsi="Times New Roman"/>
          <w:sz w:val="22"/>
          <w:szCs w:val="22"/>
          <w:lang w:val="fr"/>
        </w:rPr>
        <w:t>la</w:t>
      </w:r>
      <w:proofErr w:type="gramEnd"/>
      <w:r w:rsidRPr="00CE259E">
        <w:rPr>
          <w:rFonts w:ascii="Times New Roman" w:hAnsi="Times New Roman"/>
          <w:sz w:val="22"/>
          <w:szCs w:val="22"/>
          <w:lang w:val="fr"/>
        </w:rPr>
        <w:t xml:space="preserve"> liste et le prix des pièces de rechange et des consommables recommandés par le fabricant et pour une utilisation pendant deux années,</w:t>
      </w:r>
    </w:p>
    <w:p w14:paraId="09A05D01" w14:textId="77777777" w:rsidR="00CE259E" w:rsidRPr="00CE259E" w:rsidRDefault="00CE259E" w:rsidP="001A632A">
      <w:pPr>
        <w:numPr>
          <w:ilvl w:val="0"/>
          <w:numId w:val="25"/>
        </w:numPr>
        <w:spacing w:before="240"/>
        <w:contextualSpacing/>
        <w:jc w:val="both"/>
        <w:rPr>
          <w:rFonts w:ascii="Times New Roman" w:hAnsi="Times New Roman"/>
          <w:sz w:val="22"/>
          <w:szCs w:val="22"/>
          <w:lang w:val="fr"/>
        </w:rPr>
      </w:pPr>
      <w:proofErr w:type="gramStart"/>
      <w:r w:rsidRPr="00CE259E">
        <w:rPr>
          <w:rFonts w:ascii="Times New Roman" w:hAnsi="Times New Roman"/>
          <w:sz w:val="22"/>
          <w:szCs w:val="22"/>
          <w:lang w:val="fr"/>
        </w:rPr>
        <w:t>une</w:t>
      </w:r>
      <w:proofErr w:type="gramEnd"/>
      <w:r w:rsidRPr="00CE259E">
        <w:rPr>
          <w:rFonts w:ascii="Times New Roman" w:hAnsi="Times New Roman"/>
          <w:sz w:val="22"/>
          <w:szCs w:val="22"/>
          <w:lang w:val="fr"/>
        </w:rPr>
        <w:t xml:space="preserve"> proposition de service après-vente pendant deux années ;</w:t>
      </w:r>
    </w:p>
    <w:p w14:paraId="681C944D" w14:textId="77777777" w:rsidR="00CE259E" w:rsidRPr="00CE259E" w:rsidRDefault="00CE259E" w:rsidP="001A632A">
      <w:pPr>
        <w:numPr>
          <w:ilvl w:val="0"/>
          <w:numId w:val="25"/>
        </w:numPr>
        <w:spacing w:before="240"/>
        <w:contextualSpacing/>
        <w:jc w:val="both"/>
        <w:rPr>
          <w:rFonts w:ascii="Times New Roman" w:hAnsi="Times New Roman"/>
          <w:b/>
          <w:bCs/>
          <w:sz w:val="22"/>
          <w:szCs w:val="22"/>
          <w:lang w:val="fr"/>
        </w:rPr>
      </w:pPr>
      <w:proofErr w:type="gramStart"/>
      <w:r w:rsidRPr="00CE259E">
        <w:rPr>
          <w:rFonts w:ascii="Times New Roman" w:hAnsi="Times New Roman"/>
          <w:sz w:val="22"/>
          <w:szCs w:val="22"/>
          <w:lang w:val="fr"/>
        </w:rPr>
        <w:t>les</w:t>
      </w:r>
      <w:proofErr w:type="gramEnd"/>
      <w:r w:rsidRPr="00CE259E">
        <w:rPr>
          <w:rFonts w:ascii="Times New Roman" w:hAnsi="Times New Roman"/>
          <w:sz w:val="22"/>
          <w:szCs w:val="22"/>
          <w:lang w:val="fr"/>
        </w:rPr>
        <w:t xml:space="preserve"> documents d’immatriculation de chaque véhicule,</w:t>
      </w:r>
    </w:p>
    <w:p w14:paraId="25463540" w14:textId="77777777" w:rsidR="004B50F9" w:rsidRDefault="00CE259E" w:rsidP="001A632A">
      <w:pPr>
        <w:numPr>
          <w:ilvl w:val="0"/>
          <w:numId w:val="25"/>
        </w:numPr>
        <w:spacing w:before="240"/>
        <w:contextualSpacing/>
        <w:jc w:val="both"/>
        <w:rPr>
          <w:rFonts w:ascii="Times New Roman" w:hAnsi="Times New Roman"/>
          <w:b/>
          <w:bCs/>
          <w:sz w:val="22"/>
          <w:szCs w:val="22"/>
          <w:lang w:val="fr"/>
        </w:rPr>
      </w:pPr>
      <w:proofErr w:type="gramStart"/>
      <w:r w:rsidRPr="00CE259E">
        <w:rPr>
          <w:rFonts w:ascii="Times New Roman" w:hAnsi="Times New Roman"/>
          <w:sz w:val="22"/>
          <w:szCs w:val="22"/>
          <w:lang w:val="fr"/>
        </w:rPr>
        <w:t>les</w:t>
      </w:r>
      <w:proofErr w:type="gramEnd"/>
      <w:r w:rsidRPr="00CE259E">
        <w:rPr>
          <w:rFonts w:ascii="Times New Roman" w:hAnsi="Times New Roman"/>
          <w:sz w:val="22"/>
          <w:szCs w:val="22"/>
          <w:lang w:val="fr"/>
        </w:rPr>
        <w:t xml:space="preserve"> documents d’assurances,</w:t>
      </w:r>
    </w:p>
    <w:p w14:paraId="53E5B424" w14:textId="01FB6B0B" w:rsidR="004B50F9" w:rsidRPr="004B50F9" w:rsidRDefault="00CE259E" w:rsidP="001A632A">
      <w:pPr>
        <w:numPr>
          <w:ilvl w:val="0"/>
          <w:numId w:val="25"/>
        </w:numPr>
        <w:spacing w:before="240"/>
        <w:contextualSpacing/>
        <w:jc w:val="both"/>
        <w:rPr>
          <w:rFonts w:ascii="Times New Roman" w:hAnsi="Times New Roman"/>
          <w:b/>
          <w:bCs/>
          <w:sz w:val="22"/>
          <w:szCs w:val="22"/>
          <w:lang w:val="fr"/>
        </w:rPr>
      </w:pPr>
      <w:proofErr w:type="gramStart"/>
      <w:r w:rsidRPr="004B50F9">
        <w:rPr>
          <w:rFonts w:ascii="Times New Roman" w:hAnsi="Times New Roman"/>
          <w:sz w:val="22"/>
          <w:szCs w:val="22"/>
          <w:lang w:val="fr"/>
        </w:rPr>
        <w:t>les</w:t>
      </w:r>
      <w:proofErr w:type="gramEnd"/>
      <w:r w:rsidRPr="004B50F9">
        <w:rPr>
          <w:rFonts w:ascii="Times New Roman" w:hAnsi="Times New Roman"/>
          <w:sz w:val="22"/>
          <w:szCs w:val="22"/>
          <w:lang w:val="fr"/>
        </w:rPr>
        <w:t xml:space="preserve"> documents de garantie du constructeur et de garantie commerciale</w:t>
      </w:r>
      <w:r w:rsidR="004B50F9" w:rsidRPr="004B50F9">
        <w:rPr>
          <w:rFonts w:ascii="Times New Roman" w:hAnsi="Times New Roman"/>
          <w:sz w:val="22"/>
          <w:szCs w:val="22"/>
          <w:lang w:val="fr"/>
        </w:rPr>
        <w:t>.</w:t>
      </w:r>
    </w:p>
    <w:p w14:paraId="35062D7D" w14:textId="06B7CAA4" w:rsidR="0047783A" w:rsidRPr="003D6B6C" w:rsidRDefault="0047783A" w:rsidP="00CE259E">
      <w:pPr>
        <w:spacing w:before="240"/>
        <w:ind w:left="1134" w:hanging="1134"/>
        <w:jc w:val="both"/>
        <w:rPr>
          <w:rFonts w:ascii="Times New Roman" w:hAnsi="Times New Roman"/>
          <w:b/>
          <w:sz w:val="24"/>
          <w:szCs w:val="24"/>
        </w:rPr>
      </w:pPr>
      <w:r>
        <w:rPr>
          <w:rFonts w:ascii="Times New Roman" w:hAnsi="Times New Roman"/>
          <w:b/>
          <w:sz w:val="24"/>
          <w:szCs w:val="24"/>
        </w:rPr>
        <w:lastRenderedPageBreak/>
        <w:t>Article 8</w:t>
      </w:r>
      <w:r>
        <w:rPr>
          <w:rFonts w:ascii="Times New Roman" w:hAnsi="Times New Roman"/>
          <w:b/>
          <w:sz w:val="24"/>
          <w:szCs w:val="24"/>
        </w:rPr>
        <w:tab/>
        <w:t>Aide en matière de réglementation locale</w:t>
      </w:r>
      <w:bookmarkEnd w:id="4"/>
    </w:p>
    <w:p w14:paraId="490BDFDD" w14:textId="018FFD61" w:rsidR="0047783A" w:rsidRPr="003D6B6C" w:rsidRDefault="00AE47A5" w:rsidP="00B34179">
      <w:pPr>
        <w:jc w:val="both"/>
        <w:rPr>
          <w:rFonts w:ascii="Times New Roman" w:hAnsi="Times New Roman"/>
          <w:sz w:val="22"/>
          <w:szCs w:val="22"/>
        </w:rPr>
      </w:pPr>
      <w:r w:rsidRPr="00AE47A5">
        <w:rPr>
          <w:rFonts w:ascii="Times New Roman" w:hAnsi="Times New Roman"/>
          <w:sz w:val="22"/>
          <w:szCs w:val="22"/>
          <w:lang w:val="fr"/>
        </w:rPr>
        <w:t>Les véhicules sont livrés en exonération des taxes et douanes. Le pouvoir adjudicateur tiendra à la disposition du titulaire les documents requis en vue de faciliter les formalités administratives en rapport avec cette exonération</w:t>
      </w:r>
    </w:p>
    <w:p w14:paraId="6797F7C0" w14:textId="77777777" w:rsidR="00E0396B" w:rsidRPr="003D6B6C" w:rsidRDefault="00E0396B" w:rsidP="00FE689C">
      <w:pPr>
        <w:tabs>
          <w:tab w:val="left" w:pos="1134"/>
        </w:tabs>
        <w:jc w:val="both"/>
        <w:rPr>
          <w:rFonts w:ascii="Times New Roman" w:hAnsi="Times New Roman"/>
          <w:b/>
          <w:sz w:val="22"/>
          <w:szCs w:val="22"/>
        </w:rPr>
      </w:pPr>
      <w:r>
        <w:rPr>
          <w:rFonts w:ascii="Times New Roman" w:hAnsi="Times New Roman"/>
          <w:b/>
          <w:sz w:val="22"/>
          <w:szCs w:val="22"/>
        </w:rPr>
        <w:t>Article 9</w:t>
      </w:r>
      <w:r>
        <w:rPr>
          <w:rFonts w:ascii="Times New Roman" w:hAnsi="Times New Roman"/>
          <w:b/>
          <w:sz w:val="22"/>
          <w:szCs w:val="22"/>
        </w:rPr>
        <w:tab/>
        <w:t>Obligations générales</w:t>
      </w:r>
    </w:p>
    <w:p w14:paraId="5C369A71" w14:textId="3FE3A9F0" w:rsidR="00986475" w:rsidRDefault="00E0396B" w:rsidP="009823E7">
      <w:pPr>
        <w:pStyle w:val="Heading2"/>
        <w:ind w:left="1134" w:hanging="708"/>
        <w:jc w:val="both"/>
        <w:rPr>
          <w:rFonts w:ascii="Times New Roman" w:hAnsi="Times New Roman"/>
          <w:sz w:val="22"/>
          <w:szCs w:val="22"/>
        </w:rPr>
      </w:pPr>
      <w:r>
        <w:rPr>
          <w:rFonts w:ascii="Times New Roman" w:hAnsi="Times New Roman"/>
          <w:sz w:val="22"/>
          <w:szCs w:val="22"/>
        </w:rPr>
        <w:t>9.9</w:t>
      </w:r>
      <w:r>
        <w:rPr>
          <w:rFonts w:ascii="Times New Roman" w:hAnsi="Times New Roman"/>
          <w:sz w:val="22"/>
          <w:szCs w:val="22"/>
        </w:rPr>
        <w:tab/>
      </w:r>
      <w:r w:rsidR="00DB6496">
        <w:rPr>
          <w:rFonts w:ascii="Times New Roman" w:hAnsi="Times New Roman"/>
          <w:sz w:val="22"/>
          <w:szCs w:val="22"/>
        </w:rPr>
        <w:t>N</w:t>
      </w:r>
      <w:r w:rsidR="00040BA6">
        <w:rPr>
          <w:rFonts w:ascii="Times New Roman" w:hAnsi="Times New Roman"/>
          <w:sz w:val="22"/>
          <w:szCs w:val="22"/>
        </w:rPr>
        <w:t>/</w:t>
      </w:r>
      <w:r w:rsidR="00DB6496">
        <w:rPr>
          <w:rFonts w:ascii="Times New Roman" w:hAnsi="Times New Roman"/>
          <w:sz w:val="22"/>
          <w:szCs w:val="22"/>
        </w:rPr>
        <w:t>A</w:t>
      </w:r>
    </w:p>
    <w:p w14:paraId="7B0EBBEA" w14:textId="77777777" w:rsidR="0047783A" w:rsidRPr="003D6B6C" w:rsidRDefault="0047783A" w:rsidP="001B55AC">
      <w:pPr>
        <w:keepNext/>
        <w:spacing w:before="240"/>
        <w:ind w:left="1134" w:hanging="1134"/>
        <w:jc w:val="both"/>
        <w:rPr>
          <w:rFonts w:ascii="Times New Roman" w:hAnsi="Times New Roman"/>
          <w:b/>
          <w:sz w:val="24"/>
          <w:szCs w:val="24"/>
        </w:rPr>
      </w:pPr>
      <w:bookmarkStart w:id="5" w:name="_Toc124934900"/>
      <w:r>
        <w:rPr>
          <w:rFonts w:ascii="Times New Roman" w:hAnsi="Times New Roman"/>
          <w:b/>
          <w:sz w:val="24"/>
          <w:szCs w:val="24"/>
        </w:rPr>
        <w:t>Article 10</w:t>
      </w:r>
      <w:r>
        <w:rPr>
          <w:rFonts w:ascii="Times New Roman" w:hAnsi="Times New Roman"/>
          <w:b/>
          <w:sz w:val="24"/>
          <w:szCs w:val="24"/>
        </w:rPr>
        <w:tab/>
        <w:t>Origine</w:t>
      </w:r>
      <w:bookmarkEnd w:id="5"/>
    </w:p>
    <w:p w14:paraId="7F4C0A19" w14:textId="1BFB2E29" w:rsidR="0047783A" w:rsidRPr="00942DE1" w:rsidRDefault="0047783A" w:rsidP="00B354EB">
      <w:pPr>
        <w:pStyle w:val="Heading2"/>
        <w:keepNext w:val="0"/>
        <w:numPr>
          <w:ilvl w:val="1"/>
          <w:numId w:val="0"/>
        </w:numPr>
        <w:ind w:left="1134" w:hanging="708"/>
        <w:jc w:val="both"/>
        <w:rPr>
          <w:rFonts w:ascii="Times New Roman" w:hAnsi="Times New Roman"/>
          <w:sz w:val="22"/>
          <w:szCs w:val="22"/>
        </w:rPr>
      </w:pPr>
      <w:r w:rsidRPr="00942DE1">
        <w:rPr>
          <w:rFonts w:ascii="Times New Roman" w:hAnsi="Times New Roman"/>
          <w:sz w:val="22"/>
          <w:szCs w:val="22"/>
        </w:rPr>
        <w:t>10.1</w:t>
      </w:r>
      <w:r w:rsidRPr="00942DE1">
        <w:rPr>
          <w:rFonts w:ascii="Times New Roman" w:hAnsi="Times New Roman"/>
          <w:sz w:val="22"/>
          <w:szCs w:val="22"/>
        </w:rPr>
        <w:tab/>
      </w:r>
      <w:r w:rsidR="009679FA" w:rsidRPr="00942DE1">
        <w:rPr>
          <w:rFonts w:ascii="Times New Roman" w:hAnsi="Times New Roman"/>
          <w:sz w:val="22"/>
          <w:szCs w:val="22"/>
        </w:rPr>
        <w:t>En vertu du cadre financier pluriannuel 2014-2020 (marchés/lots supérieurs à 100 000 EUR au titre du règlement commun de mise en œuvre et indépendamment de la valeur pour les autres instruments</w:t>
      </w:r>
      <w:proofErr w:type="gramStart"/>
      <w:r w:rsidR="009679FA" w:rsidRPr="00942DE1">
        <w:rPr>
          <w:rFonts w:ascii="Times New Roman" w:hAnsi="Times New Roman"/>
          <w:sz w:val="22"/>
          <w:szCs w:val="22"/>
        </w:rPr>
        <w:t>):</w:t>
      </w:r>
      <w:proofErr w:type="gramEnd"/>
      <w:r w:rsidR="009679FA" w:rsidRPr="00942DE1">
        <w:rPr>
          <w:rFonts w:ascii="Times New Roman" w:hAnsi="Times New Roman"/>
          <w:sz w:val="22"/>
          <w:szCs w:val="22"/>
        </w:rPr>
        <w:t xml:space="preserve"> Tous les biens achetés doivent provenir d’un des pays éligibles mentionnés dans &lt;insérer l’instrument finançant le projet/programme&gt;. Aux fins de la présente disposition, l</w:t>
      </w:r>
      <w:proofErr w:type="gramStart"/>
      <w:r w:rsidR="009679FA" w:rsidRPr="00942DE1">
        <w:rPr>
          <w:rFonts w:ascii="Times New Roman" w:hAnsi="Times New Roman"/>
          <w:sz w:val="22"/>
          <w:szCs w:val="22"/>
        </w:rPr>
        <w:t>’«origine</w:t>
      </w:r>
      <w:proofErr w:type="gramEnd"/>
      <w:r w:rsidR="009679FA" w:rsidRPr="00942DE1">
        <w:rPr>
          <w:rFonts w:ascii="Times New Roman" w:hAnsi="Times New Roman"/>
          <w:sz w:val="22"/>
          <w:szCs w:val="22"/>
        </w:rPr>
        <w:t>» signifie l’endroit où les biens sont extraits, cultivés, produits ou manufacturés. L’origine des biens doit être déterminée en accord avec les codes des douanes de l’Union européenne ou de la convention internationale applicable en l’espèce.</w:t>
      </w:r>
      <w:r w:rsidR="00F85B06" w:rsidRPr="00942DE1">
        <w:rPr>
          <w:rFonts w:ascii="Times New Roman" w:hAnsi="Times New Roman"/>
          <w:sz w:val="22"/>
          <w:szCs w:val="22"/>
        </w:rPr>
        <w:t>]</w:t>
      </w:r>
    </w:p>
    <w:p w14:paraId="232C584C" w14:textId="0E26A9CC" w:rsidR="0047783A" w:rsidRPr="00942DE1" w:rsidRDefault="0047783A" w:rsidP="004F7A0E">
      <w:pPr>
        <w:pStyle w:val="Heading2"/>
        <w:keepNext w:val="0"/>
        <w:numPr>
          <w:ilvl w:val="1"/>
          <w:numId w:val="0"/>
        </w:numPr>
        <w:ind w:left="1134"/>
        <w:jc w:val="both"/>
        <w:rPr>
          <w:rFonts w:ascii="Times New Roman" w:hAnsi="Times New Roman"/>
          <w:sz w:val="22"/>
          <w:szCs w:val="22"/>
        </w:rPr>
      </w:pPr>
      <w:proofErr w:type="gramStart"/>
      <w:r w:rsidRPr="00942DE1">
        <w:rPr>
          <w:rFonts w:ascii="Times New Roman" w:hAnsi="Times New Roman"/>
          <w:sz w:val="22"/>
          <w:szCs w:val="22"/>
        </w:rPr>
        <w:t>FED:</w:t>
      </w:r>
      <w:proofErr w:type="gramEnd"/>
      <w:r w:rsidRPr="00942DE1">
        <w:rPr>
          <w:rFonts w:ascii="Times New Roman" w:hAnsi="Times New Roman"/>
          <w:sz w:val="22"/>
          <w:szCs w:val="22"/>
        </w:rPr>
        <w:t xml:space="preserve"> Les biens provenant de l’Union européenne incluent ceux issus des pays et territoires d’outre-mer.]</w:t>
      </w:r>
    </w:p>
    <w:p w14:paraId="08F8112F" w14:textId="29DF4F92" w:rsidR="0047783A" w:rsidRPr="003D6B6C" w:rsidRDefault="0047783A" w:rsidP="00B34179">
      <w:pPr>
        <w:spacing w:before="240"/>
        <w:ind w:left="1134" w:hanging="1134"/>
        <w:jc w:val="both"/>
        <w:rPr>
          <w:rFonts w:ascii="Times New Roman" w:hAnsi="Times New Roman"/>
          <w:b/>
          <w:sz w:val="24"/>
          <w:szCs w:val="24"/>
        </w:rPr>
      </w:pPr>
      <w:bookmarkStart w:id="6" w:name="_Toc124934901"/>
      <w:r>
        <w:rPr>
          <w:rFonts w:ascii="Times New Roman" w:hAnsi="Times New Roman"/>
          <w:b/>
          <w:sz w:val="24"/>
          <w:szCs w:val="24"/>
        </w:rPr>
        <w:t>Article 11</w:t>
      </w:r>
      <w:r>
        <w:rPr>
          <w:rFonts w:ascii="Times New Roman" w:hAnsi="Times New Roman"/>
          <w:b/>
          <w:sz w:val="24"/>
          <w:szCs w:val="24"/>
        </w:rPr>
        <w:tab/>
        <w:t>Garantie de bonne exécution</w:t>
      </w:r>
      <w:bookmarkEnd w:id="6"/>
    </w:p>
    <w:p w14:paraId="60B74BAE" w14:textId="5AFCC6BE" w:rsidR="00955FAE" w:rsidRPr="003D6B6C" w:rsidRDefault="00955FAE" w:rsidP="00955FAE">
      <w:pPr>
        <w:ind w:left="1134" w:hanging="709"/>
        <w:jc w:val="both"/>
        <w:rPr>
          <w:rFonts w:ascii="Times New Roman" w:hAnsi="Times New Roman"/>
          <w:sz w:val="22"/>
          <w:szCs w:val="22"/>
        </w:rPr>
      </w:pPr>
      <w:r>
        <w:rPr>
          <w:rFonts w:ascii="Times New Roman" w:hAnsi="Times New Roman"/>
          <w:sz w:val="22"/>
          <w:szCs w:val="22"/>
        </w:rPr>
        <w:t>11.1</w:t>
      </w:r>
      <w:r>
        <w:rPr>
          <w:rFonts w:ascii="Times New Roman" w:hAnsi="Times New Roman"/>
          <w:sz w:val="22"/>
          <w:szCs w:val="22"/>
        </w:rPr>
        <w:tab/>
      </w:r>
      <w:r>
        <w:rPr>
          <w:rFonts w:ascii="Times New Roman" w:hAnsi="Times New Roman"/>
          <w:sz w:val="22"/>
          <w:szCs w:val="22"/>
          <w:highlight w:val="lightGray"/>
        </w:rPr>
        <w:t>Le montant de la garantie de bonne exécution est fixé à</w:t>
      </w:r>
      <w:r>
        <w:rPr>
          <w:rFonts w:ascii="Times New Roman" w:hAnsi="Times New Roman"/>
          <w:sz w:val="22"/>
          <w:szCs w:val="22"/>
        </w:rPr>
        <w:t xml:space="preserve"> </w:t>
      </w:r>
      <w:r>
        <w:rPr>
          <w:rFonts w:ascii="Times New Roman" w:hAnsi="Times New Roman"/>
          <w:sz w:val="22"/>
          <w:szCs w:val="22"/>
          <w:highlight w:val="yellow"/>
        </w:rPr>
        <w:t>5 </w:t>
      </w:r>
      <w:proofErr w:type="gramStart"/>
      <w:r>
        <w:rPr>
          <w:rFonts w:ascii="Times New Roman" w:hAnsi="Times New Roman"/>
          <w:sz w:val="22"/>
          <w:szCs w:val="22"/>
          <w:highlight w:val="yellow"/>
        </w:rPr>
        <w:t xml:space="preserve">% </w:t>
      </w:r>
      <w:r>
        <w:rPr>
          <w:rFonts w:ascii="Times New Roman" w:hAnsi="Times New Roman"/>
          <w:sz w:val="22"/>
          <w:szCs w:val="22"/>
          <w:highlight w:val="lightGray"/>
        </w:rPr>
        <w:t xml:space="preserve"> du</w:t>
      </w:r>
      <w:proofErr w:type="gramEnd"/>
      <w:r>
        <w:rPr>
          <w:rFonts w:ascii="Times New Roman" w:hAnsi="Times New Roman"/>
          <w:sz w:val="22"/>
          <w:szCs w:val="22"/>
          <w:highlight w:val="lightGray"/>
        </w:rPr>
        <w:t xml:space="preserve"> montant total du marché, y compris les montants mentionnés dans ses avenants éventuels.</w:t>
      </w:r>
    </w:p>
    <w:p w14:paraId="7E65A926" w14:textId="77777777" w:rsidR="0047783A" w:rsidRPr="003D6B6C" w:rsidRDefault="0047783A" w:rsidP="00B34179">
      <w:pPr>
        <w:spacing w:before="240"/>
        <w:ind w:left="1134" w:hanging="1134"/>
        <w:jc w:val="both"/>
        <w:rPr>
          <w:rFonts w:ascii="Times New Roman" w:hAnsi="Times New Roman"/>
          <w:b/>
          <w:sz w:val="24"/>
          <w:szCs w:val="24"/>
        </w:rPr>
      </w:pPr>
      <w:bookmarkStart w:id="7" w:name="_Toc124934902"/>
      <w:r>
        <w:rPr>
          <w:rFonts w:ascii="Times New Roman" w:hAnsi="Times New Roman"/>
          <w:b/>
          <w:sz w:val="24"/>
          <w:szCs w:val="24"/>
        </w:rPr>
        <w:t>Article 12</w:t>
      </w:r>
      <w:r>
        <w:rPr>
          <w:rFonts w:ascii="Times New Roman" w:hAnsi="Times New Roman"/>
          <w:b/>
          <w:sz w:val="24"/>
          <w:szCs w:val="24"/>
        </w:rPr>
        <w:tab/>
        <w:t>Responsabilité et assurances</w:t>
      </w:r>
      <w:bookmarkEnd w:id="7"/>
    </w:p>
    <w:p w14:paraId="1D170F84" w14:textId="3528F838" w:rsidR="00F50314" w:rsidRPr="003D6B6C" w:rsidRDefault="004D33C9" w:rsidP="00F50314">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12.1 a)</w:t>
      </w:r>
      <w:r>
        <w:rPr>
          <w:rFonts w:ascii="Times New Roman" w:hAnsi="Times New Roman"/>
          <w:sz w:val="22"/>
          <w:szCs w:val="22"/>
        </w:rPr>
        <w:tab/>
      </w:r>
      <w:r w:rsidR="00325B91">
        <w:rPr>
          <w:rFonts w:ascii="Times New Roman" w:hAnsi="Times New Roman"/>
          <w:sz w:val="22"/>
          <w:szCs w:val="22"/>
        </w:rPr>
        <w:t>n/a</w:t>
      </w:r>
    </w:p>
    <w:p w14:paraId="24B75441" w14:textId="537B05EC" w:rsidR="00F50314" w:rsidRPr="003D6B6C" w:rsidRDefault="004D33C9" w:rsidP="00F50314">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12.1 b)</w:t>
      </w:r>
      <w:r>
        <w:rPr>
          <w:rFonts w:ascii="Times New Roman" w:hAnsi="Times New Roman"/>
          <w:sz w:val="22"/>
          <w:szCs w:val="22"/>
        </w:rPr>
        <w:tab/>
      </w:r>
      <w:r w:rsidR="00F50314">
        <w:rPr>
          <w:rFonts w:ascii="Times New Roman" w:hAnsi="Times New Roman"/>
          <w:sz w:val="22"/>
          <w:szCs w:val="22"/>
        </w:rPr>
        <w:t>n/a</w:t>
      </w:r>
    </w:p>
    <w:p w14:paraId="061B1AE8" w14:textId="4612C8F2" w:rsidR="00866C9A" w:rsidRPr="003D6B6C" w:rsidRDefault="003D6B6C" w:rsidP="00866C9A">
      <w:pPr>
        <w:tabs>
          <w:tab w:val="left" w:pos="1843"/>
        </w:tabs>
        <w:spacing w:before="240"/>
        <w:ind w:left="1843" w:hanging="1843"/>
        <w:jc w:val="both"/>
        <w:rPr>
          <w:rFonts w:ascii="Times New Roman" w:hAnsi="Times New Roman"/>
          <w:sz w:val="22"/>
          <w:szCs w:val="22"/>
        </w:rPr>
      </w:pPr>
      <w:r>
        <w:rPr>
          <w:rFonts w:ascii="Times New Roman" w:hAnsi="Times New Roman"/>
          <w:sz w:val="22"/>
          <w:szCs w:val="22"/>
        </w:rPr>
        <w:t xml:space="preserve">12.2 a), </w:t>
      </w:r>
      <w:r w:rsidR="00866C9A">
        <w:rPr>
          <w:rFonts w:ascii="Times New Roman" w:hAnsi="Times New Roman"/>
          <w:sz w:val="22"/>
          <w:szCs w:val="22"/>
        </w:rPr>
        <w:t>n/a</w:t>
      </w:r>
    </w:p>
    <w:p w14:paraId="5F24C6E8" w14:textId="28663BB9" w:rsidR="00C1712E" w:rsidRPr="003D6B6C" w:rsidRDefault="003D6B6C" w:rsidP="00C1712E">
      <w:pPr>
        <w:tabs>
          <w:tab w:val="left" w:pos="1843"/>
        </w:tabs>
        <w:spacing w:before="240"/>
        <w:ind w:left="1843" w:hanging="1843"/>
        <w:jc w:val="both"/>
        <w:rPr>
          <w:rFonts w:ascii="Times New Roman" w:hAnsi="Times New Roman"/>
          <w:sz w:val="22"/>
          <w:szCs w:val="22"/>
        </w:rPr>
      </w:pPr>
      <w:r>
        <w:rPr>
          <w:rFonts w:ascii="Times New Roman" w:hAnsi="Times New Roman"/>
          <w:sz w:val="22"/>
          <w:szCs w:val="22"/>
        </w:rPr>
        <w:t xml:space="preserve">12.2 a), </w:t>
      </w:r>
      <w:r w:rsidR="00C1712E">
        <w:rPr>
          <w:rFonts w:ascii="Times New Roman" w:hAnsi="Times New Roman"/>
          <w:sz w:val="22"/>
          <w:szCs w:val="22"/>
        </w:rPr>
        <w:t xml:space="preserve">n/a </w:t>
      </w:r>
    </w:p>
    <w:p w14:paraId="30C505EF" w14:textId="4C258831" w:rsidR="00F51D3D" w:rsidRPr="00181071" w:rsidRDefault="003D6B6C" w:rsidP="00E70416">
      <w:pPr>
        <w:ind w:left="1843" w:hanging="1843"/>
        <w:jc w:val="both"/>
        <w:rPr>
          <w:rFonts w:ascii="Times New Roman" w:hAnsi="Times New Roman"/>
          <w:color w:val="222222"/>
          <w:sz w:val="22"/>
          <w:szCs w:val="22"/>
        </w:rPr>
      </w:pPr>
      <w:r w:rsidRPr="00181071">
        <w:rPr>
          <w:rFonts w:ascii="Times New Roman" w:hAnsi="Times New Roman"/>
          <w:sz w:val="22"/>
          <w:szCs w:val="22"/>
        </w:rPr>
        <w:t xml:space="preserve">12.2 b), </w:t>
      </w:r>
      <w:r w:rsidR="00E76535" w:rsidRPr="00181071">
        <w:rPr>
          <w:rFonts w:ascii="Times New Roman" w:hAnsi="Times New Roman"/>
          <w:color w:val="222222"/>
          <w:sz w:val="22"/>
          <w:szCs w:val="22"/>
        </w:rPr>
        <w:t xml:space="preserve">Dans le cas d’utilisation des Incoterms, le contractant doit prévoir l’assurance transport dans la mesure où il assume les risques de transport. La question de la mesure des risques assumés par le contractant (vendeur) dépend notamment des Incoterms </w:t>
      </w:r>
      <w:proofErr w:type="gramStart"/>
      <w:r w:rsidR="00E76535" w:rsidRPr="00181071">
        <w:rPr>
          <w:rFonts w:ascii="Times New Roman" w:hAnsi="Times New Roman"/>
          <w:color w:val="222222"/>
          <w:sz w:val="22"/>
          <w:szCs w:val="22"/>
        </w:rPr>
        <w:t>utilisés:</w:t>
      </w:r>
      <w:proofErr w:type="gramEnd"/>
    </w:p>
    <w:p w14:paraId="11815F32" w14:textId="77777777" w:rsidR="00E76535" w:rsidRPr="00181071" w:rsidRDefault="00E76535" w:rsidP="003D6B6C">
      <w:pPr>
        <w:pStyle w:val="Default"/>
        <w:numPr>
          <w:ilvl w:val="0"/>
          <w:numId w:val="22"/>
        </w:numPr>
        <w:ind w:left="2268"/>
        <w:jc w:val="both"/>
        <w:rPr>
          <w:sz w:val="22"/>
          <w:szCs w:val="22"/>
        </w:rPr>
      </w:pPr>
      <w:r w:rsidRPr="00181071">
        <w:rPr>
          <w:b/>
          <w:i/>
          <w:iCs/>
          <w:sz w:val="22"/>
          <w:szCs w:val="22"/>
        </w:rPr>
        <w:t xml:space="preserve">DDP - Rendu droits </w:t>
      </w:r>
      <w:proofErr w:type="gramStart"/>
      <w:r w:rsidRPr="00181071">
        <w:rPr>
          <w:b/>
          <w:i/>
          <w:iCs/>
          <w:sz w:val="22"/>
          <w:szCs w:val="22"/>
        </w:rPr>
        <w:t>acquittés</w:t>
      </w:r>
      <w:r w:rsidRPr="00181071">
        <w:rPr>
          <w:i/>
          <w:iCs/>
          <w:sz w:val="22"/>
          <w:szCs w:val="22"/>
        </w:rPr>
        <w:t>:</w:t>
      </w:r>
      <w:proofErr w:type="gramEnd"/>
      <w:r w:rsidRPr="00181071">
        <w:rPr>
          <w:i/>
          <w:iCs/>
          <w:sz w:val="22"/>
          <w:szCs w:val="22"/>
        </w:rPr>
        <w:t xml:space="preserve"> </w:t>
      </w:r>
      <w:r w:rsidRPr="00181071">
        <w:rPr>
          <w:color w:val="222222"/>
          <w:sz w:val="22"/>
          <w:szCs w:val="22"/>
        </w:rPr>
        <w:t xml:space="preserve">Règle Incoterm qui impose au vendeur le maximum d’obligations vis-à-vis du transport et des risques de perte et de dommage liés à la </w:t>
      </w:r>
      <w:proofErr w:type="gramStart"/>
      <w:r w:rsidRPr="00181071">
        <w:rPr>
          <w:color w:val="222222"/>
          <w:sz w:val="22"/>
          <w:szCs w:val="22"/>
        </w:rPr>
        <w:t>marchandise:</w:t>
      </w:r>
      <w:proofErr w:type="gramEnd"/>
    </w:p>
    <w:p w14:paraId="2B2DAB93" w14:textId="77777777" w:rsidR="00EF6552" w:rsidRPr="00181071" w:rsidRDefault="00B2529B" w:rsidP="003D6B6C">
      <w:pPr>
        <w:pStyle w:val="Default"/>
        <w:spacing w:after="120"/>
        <w:ind w:left="2268"/>
        <w:jc w:val="both"/>
        <w:rPr>
          <w:color w:val="222222"/>
          <w:sz w:val="22"/>
          <w:szCs w:val="22"/>
        </w:rPr>
      </w:pPr>
      <w:r w:rsidRPr="00181071">
        <w:rPr>
          <w:i/>
          <w:iCs/>
          <w:sz w:val="22"/>
          <w:szCs w:val="22"/>
        </w:rPr>
        <w:t>«</w:t>
      </w:r>
      <w:proofErr w:type="gramStart"/>
      <w:r w:rsidRPr="00181071">
        <w:rPr>
          <w:i/>
          <w:iCs/>
          <w:sz w:val="22"/>
          <w:szCs w:val="22"/>
        </w:rPr>
        <w:t>la</w:t>
      </w:r>
      <w:proofErr w:type="gramEnd"/>
      <w:r w:rsidRPr="00181071">
        <w:rPr>
          <w:i/>
          <w:iCs/>
          <w:sz w:val="22"/>
          <w:szCs w:val="22"/>
        </w:rPr>
        <w:t xml:space="preserve"> marchandise est livrée à l’acheteur, dédouanée à l’importation, sur le véhicule de transport d’approche, prête à être déchargée au lieu de destination convenu. Le vendeur assume tous les frais et risques liés à l’acheminement de la marchandise jusqu’au lieu de destination </w:t>
      </w:r>
      <w:r w:rsidRPr="00181071">
        <w:rPr>
          <w:i/>
          <w:iCs/>
          <w:sz w:val="22"/>
          <w:szCs w:val="22"/>
        </w:rPr>
        <w:lastRenderedPageBreak/>
        <w:t>convenu, en ce compris les formalités de dédouanement à l’exportation et à l’importation des biens ainsi que les droits et taxes y afférents.</w:t>
      </w:r>
      <w:r w:rsidR="00297C14" w:rsidRPr="00181071">
        <w:rPr>
          <w:rStyle w:val="FootnoteReference"/>
          <w:i/>
          <w:iCs/>
          <w:sz w:val="22"/>
          <w:szCs w:val="22"/>
        </w:rPr>
        <w:footnoteReference w:id="1"/>
      </w:r>
      <w:r w:rsidRPr="00181071">
        <w:rPr>
          <w:i/>
          <w:iCs/>
          <w:sz w:val="22"/>
          <w:szCs w:val="22"/>
        </w:rPr>
        <w:t xml:space="preserve">» </w:t>
      </w:r>
      <w:r w:rsidRPr="00181071">
        <w:rPr>
          <w:color w:val="222222"/>
          <w:sz w:val="22"/>
          <w:szCs w:val="22"/>
        </w:rPr>
        <w:t>Le transfert des risques et des frais a lieu à l’endroit du déchargement des biens, au lieu de destination convenu.</w:t>
      </w:r>
    </w:p>
    <w:p w14:paraId="121BF8E7" w14:textId="77777777" w:rsidR="0045678B" w:rsidRPr="00181071" w:rsidRDefault="00E76535" w:rsidP="003D6B6C">
      <w:pPr>
        <w:pStyle w:val="Default"/>
        <w:numPr>
          <w:ilvl w:val="0"/>
          <w:numId w:val="22"/>
        </w:numPr>
        <w:ind w:left="2268"/>
        <w:jc w:val="both"/>
        <w:rPr>
          <w:sz w:val="22"/>
          <w:szCs w:val="22"/>
        </w:rPr>
      </w:pPr>
      <w:r w:rsidRPr="00181071">
        <w:rPr>
          <w:b/>
          <w:i/>
          <w:iCs/>
          <w:sz w:val="22"/>
          <w:szCs w:val="22"/>
        </w:rPr>
        <w:t xml:space="preserve">DAP - Rendu au lieu de </w:t>
      </w:r>
      <w:proofErr w:type="gramStart"/>
      <w:r w:rsidRPr="00181071">
        <w:rPr>
          <w:b/>
          <w:i/>
          <w:iCs/>
          <w:sz w:val="22"/>
          <w:szCs w:val="22"/>
        </w:rPr>
        <w:t>destination</w:t>
      </w:r>
      <w:r w:rsidRPr="00181071">
        <w:rPr>
          <w:i/>
          <w:iCs/>
          <w:sz w:val="22"/>
          <w:szCs w:val="22"/>
        </w:rPr>
        <w:t>:</w:t>
      </w:r>
      <w:proofErr w:type="gramEnd"/>
      <w:r w:rsidRPr="00181071">
        <w:rPr>
          <w:i/>
          <w:iCs/>
          <w:sz w:val="22"/>
          <w:szCs w:val="22"/>
        </w:rPr>
        <w:t xml:space="preserve"> </w:t>
      </w:r>
      <w:r w:rsidRPr="00181071">
        <w:rPr>
          <w:sz w:val="22"/>
          <w:szCs w:val="22"/>
        </w:rPr>
        <w:t xml:space="preserve">Incoterm qui impose au vendeur d’assumer tous les frais et risques liés au dédouanement des </w:t>
      </w:r>
      <w:proofErr w:type="gramStart"/>
      <w:r w:rsidRPr="00181071">
        <w:rPr>
          <w:sz w:val="22"/>
          <w:szCs w:val="22"/>
        </w:rPr>
        <w:t>importations:</w:t>
      </w:r>
      <w:proofErr w:type="gramEnd"/>
    </w:p>
    <w:p w14:paraId="562868DE" w14:textId="77777777" w:rsidR="00E76535" w:rsidRPr="003D6B6C" w:rsidRDefault="00B2529B" w:rsidP="003D6B6C">
      <w:pPr>
        <w:pStyle w:val="Default"/>
        <w:ind w:left="2268"/>
        <w:jc w:val="both"/>
        <w:rPr>
          <w:sz w:val="22"/>
          <w:szCs w:val="22"/>
        </w:rPr>
      </w:pPr>
      <w:r w:rsidRPr="00181071">
        <w:rPr>
          <w:i/>
          <w:iCs/>
          <w:sz w:val="22"/>
          <w:szCs w:val="22"/>
        </w:rPr>
        <w:t>«</w:t>
      </w:r>
      <w:proofErr w:type="gramStart"/>
      <w:r w:rsidRPr="00181071">
        <w:rPr>
          <w:i/>
          <w:iCs/>
          <w:sz w:val="22"/>
          <w:szCs w:val="22"/>
        </w:rPr>
        <w:t>la</w:t>
      </w:r>
      <w:proofErr w:type="gramEnd"/>
      <w:r w:rsidRPr="00181071">
        <w:rPr>
          <w:i/>
          <w:iCs/>
          <w:sz w:val="22"/>
          <w:szCs w:val="22"/>
        </w:rPr>
        <w:t xml:space="preserve"> marchandise est livrée à l’acheteur sur le véhicule de transport d’approche, prête à être déchargée au lieu de destination convenu. </w:t>
      </w:r>
      <w:r w:rsidRPr="00181071">
        <w:rPr>
          <w:i/>
          <w:color w:val="222222"/>
          <w:sz w:val="22"/>
          <w:szCs w:val="22"/>
        </w:rPr>
        <w:t>Le vendeur assume tous les frais et risques liés à l’expédition des marchandises jusqu’à ce point</w:t>
      </w:r>
      <w:r w:rsidR="00297C14" w:rsidRPr="00181071">
        <w:rPr>
          <w:rStyle w:val="FootnoteReference"/>
          <w:i/>
          <w:iCs/>
          <w:sz w:val="22"/>
          <w:szCs w:val="22"/>
        </w:rPr>
        <w:footnoteReference w:id="2"/>
      </w:r>
      <w:r w:rsidRPr="00181071">
        <w:rPr>
          <w:i/>
          <w:color w:val="222222"/>
          <w:sz w:val="22"/>
          <w:szCs w:val="22"/>
        </w:rPr>
        <w:t>»</w:t>
      </w:r>
      <w:r w:rsidRPr="00181071">
        <w:rPr>
          <w:color w:val="222222"/>
          <w:sz w:val="22"/>
          <w:szCs w:val="22"/>
        </w:rPr>
        <w:t>, y compris le dédouanement à l’exportation, mais non à l’importation au port ou à la frontière du lieu de destination convenu.</w:t>
      </w:r>
    </w:p>
    <w:p w14:paraId="674BFA44" w14:textId="77777777" w:rsidR="0047783A" w:rsidRPr="003D6B6C" w:rsidRDefault="0047783A" w:rsidP="00B34179">
      <w:pPr>
        <w:spacing w:before="240"/>
        <w:ind w:left="1134" w:hanging="1134"/>
        <w:jc w:val="both"/>
        <w:rPr>
          <w:rFonts w:ascii="Times New Roman" w:hAnsi="Times New Roman"/>
          <w:b/>
          <w:sz w:val="24"/>
          <w:szCs w:val="24"/>
        </w:rPr>
      </w:pPr>
      <w:bookmarkStart w:id="8" w:name="_Toc124934903"/>
      <w:r>
        <w:rPr>
          <w:rFonts w:ascii="Times New Roman" w:hAnsi="Times New Roman"/>
          <w:b/>
          <w:sz w:val="24"/>
          <w:szCs w:val="24"/>
        </w:rPr>
        <w:t>Article 13</w:t>
      </w:r>
      <w:r>
        <w:rPr>
          <w:rFonts w:ascii="Times New Roman" w:hAnsi="Times New Roman"/>
          <w:b/>
          <w:sz w:val="24"/>
          <w:szCs w:val="24"/>
        </w:rPr>
        <w:tab/>
      </w:r>
      <w:bookmarkEnd w:id="8"/>
      <w:r>
        <w:rPr>
          <w:rFonts w:ascii="Times New Roman" w:hAnsi="Times New Roman"/>
          <w:b/>
          <w:sz w:val="24"/>
          <w:szCs w:val="24"/>
        </w:rPr>
        <w:t>Programme de mise en œuvre des tâches</w:t>
      </w:r>
    </w:p>
    <w:p w14:paraId="68CCF8F0" w14:textId="7E6199B1" w:rsidR="0047783A" w:rsidRPr="003D6B6C" w:rsidRDefault="00AC1107" w:rsidP="005D03AA">
      <w:pPr>
        <w:ind w:left="1134" w:hanging="709"/>
        <w:jc w:val="both"/>
        <w:rPr>
          <w:rFonts w:ascii="Times New Roman" w:hAnsi="Times New Roman"/>
          <w:b/>
          <w:sz w:val="22"/>
          <w:szCs w:val="22"/>
        </w:rPr>
      </w:pPr>
      <w:r>
        <w:rPr>
          <w:rFonts w:ascii="Times New Roman" w:hAnsi="Times New Roman"/>
          <w:sz w:val="22"/>
          <w:szCs w:val="22"/>
        </w:rPr>
        <w:t>13.2</w:t>
      </w:r>
      <w:r>
        <w:rPr>
          <w:rFonts w:ascii="Times New Roman" w:hAnsi="Times New Roman"/>
          <w:sz w:val="22"/>
          <w:szCs w:val="22"/>
        </w:rPr>
        <w:tab/>
      </w:r>
      <w:r w:rsidR="00BD083B">
        <w:rPr>
          <w:rFonts w:ascii="Times New Roman" w:hAnsi="Times New Roman"/>
          <w:sz w:val="22"/>
          <w:szCs w:val="22"/>
        </w:rPr>
        <w:t xml:space="preserve">n/a </w:t>
      </w:r>
    </w:p>
    <w:p w14:paraId="1A770128" w14:textId="77777777" w:rsidR="0047783A" w:rsidRPr="003D6B6C" w:rsidRDefault="0047783A" w:rsidP="00B34179">
      <w:pPr>
        <w:spacing w:before="240"/>
        <w:ind w:left="1134" w:hanging="1134"/>
        <w:jc w:val="both"/>
        <w:rPr>
          <w:rFonts w:ascii="Times New Roman" w:hAnsi="Times New Roman"/>
          <w:b/>
          <w:sz w:val="24"/>
          <w:szCs w:val="24"/>
        </w:rPr>
      </w:pPr>
      <w:bookmarkStart w:id="9" w:name="_Toc124934904"/>
      <w:r>
        <w:rPr>
          <w:rFonts w:ascii="Times New Roman" w:hAnsi="Times New Roman"/>
          <w:b/>
          <w:sz w:val="24"/>
          <w:szCs w:val="24"/>
        </w:rPr>
        <w:t>Article 14</w:t>
      </w:r>
      <w:r>
        <w:rPr>
          <w:rFonts w:ascii="Times New Roman" w:hAnsi="Times New Roman"/>
          <w:b/>
          <w:sz w:val="24"/>
          <w:szCs w:val="24"/>
        </w:rPr>
        <w:tab/>
        <w:t>Plans du titulaire</w:t>
      </w:r>
      <w:bookmarkEnd w:id="9"/>
    </w:p>
    <w:p w14:paraId="62741992" w14:textId="636B4982" w:rsidR="0047783A" w:rsidRPr="003D6B6C" w:rsidRDefault="005B0129" w:rsidP="005D03AA">
      <w:pPr>
        <w:ind w:left="1134" w:hanging="709"/>
        <w:jc w:val="both"/>
        <w:rPr>
          <w:rFonts w:ascii="Times New Roman" w:hAnsi="Times New Roman"/>
          <w:sz w:val="22"/>
          <w:szCs w:val="22"/>
        </w:rPr>
      </w:pPr>
      <w:r>
        <w:rPr>
          <w:rFonts w:ascii="Times New Roman" w:hAnsi="Times New Roman"/>
          <w:sz w:val="22"/>
          <w:szCs w:val="22"/>
        </w:rPr>
        <w:t>14.1</w:t>
      </w:r>
      <w:r>
        <w:rPr>
          <w:rFonts w:ascii="Times New Roman" w:hAnsi="Times New Roman"/>
          <w:sz w:val="22"/>
          <w:szCs w:val="22"/>
        </w:rPr>
        <w:tab/>
      </w:r>
      <w:r w:rsidR="00EC0CD5">
        <w:rPr>
          <w:rFonts w:ascii="Times New Roman" w:hAnsi="Times New Roman"/>
          <w:sz w:val="22"/>
          <w:szCs w:val="22"/>
        </w:rPr>
        <w:t>n/a</w:t>
      </w:r>
    </w:p>
    <w:p w14:paraId="1B05DF2B" w14:textId="77777777" w:rsidR="0047783A" w:rsidRPr="003D6B6C" w:rsidRDefault="0047783A" w:rsidP="00B34179">
      <w:pPr>
        <w:spacing w:before="240"/>
        <w:ind w:left="1134" w:hanging="1134"/>
        <w:jc w:val="both"/>
        <w:rPr>
          <w:rFonts w:ascii="Times New Roman" w:hAnsi="Times New Roman"/>
          <w:b/>
          <w:sz w:val="24"/>
          <w:szCs w:val="24"/>
        </w:rPr>
      </w:pPr>
      <w:bookmarkStart w:id="10" w:name="_Toc124934905"/>
      <w:r>
        <w:rPr>
          <w:rFonts w:ascii="Times New Roman" w:hAnsi="Times New Roman"/>
          <w:b/>
          <w:sz w:val="24"/>
          <w:szCs w:val="24"/>
        </w:rPr>
        <w:t>Article 15</w:t>
      </w:r>
      <w:r>
        <w:rPr>
          <w:rFonts w:ascii="Times New Roman" w:hAnsi="Times New Roman"/>
          <w:b/>
          <w:sz w:val="24"/>
          <w:szCs w:val="24"/>
        </w:rPr>
        <w:tab/>
        <w:t>Niveau suffisant du montant de l’offre</w:t>
      </w:r>
      <w:bookmarkEnd w:id="10"/>
      <w:r>
        <w:rPr>
          <w:rFonts w:ascii="Times New Roman" w:hAnsi="Times New Roman"/>
          <w:b/>
          <w:sz w:val="24"/>
          <w:szCs w:val="24"/>
        </w:rPr>
        <w:tab/>
      </w:r>
    </w:p>
    <w:p w14:paraId="4B4F2207" w14:textId="161EA76D" w:rsidR="0047783A" w:rsidRPr="003D6B6C" w:rsidRDefault="005B0129" w:rsidP="005D03AA">
      <w:pPr>
        <w:ind w:left="1134" w:hanging="709"/>
        <w:jc w:val="both"/>
        <w:rPr>
          <w:rFonts w:ascii="Times New Roman" w:hAnsi="Times New Roman"/>
          <w:sz w:val="22"/>
          <w:szCs w:val="22"/>
        </w:rPr>
      </w:pPr>
      <w:r>
        <w:rPr>
          <w:rFonts w:ascii="Times New Roman" w:hAnsi="Times New Roman"/>
          <w:sz w:val="22"/>
          <w:szCs w:val="22"/>
        </w:rPr>
        <w:t>15.1</w:t>
      </w:r>
      <w:r>
        <w:rPr>
          <w:rFonts w:ascii="Times New Roman" w:hAnsi="Times New Roman"/>
          <w:sz w:val="22"/>
          <w:szCs w:val="22"/>
        </w:rPr>
        <w:tab/>
      </w:r>
      <w:r w:rsidR="00987CD3">
        <w:rPr>
          <w:rFonts w:ascii="Times New Roman" w:hAnsi="Times New Roman"/>
          <w:sz w:val="22"/>
          <w:szCs w:val="22"/>
        </w:rPr>
        <w:t>N/A</w:t>
      </w:r>
    </w:p>
    <w:p w14:paraId="35D9433B" w14:textId="77777777" w:rsidR="00C52305" w:rsidRPr="003D6B6C" w:rsidRDefault="00C52305" w:rsidP="00C52305">
      <w:pPr>
        <w:spacing w:before="240"/>
        <w:ind w:left="1134" w:hanging="1134"/>
        <w:jc w:val="both"/>
        <w:rPr>
          <w:rFonts w:ascii="Times New Roman" w:hAnsi="Times New Roman"/>
          <w:b/>
          <w:sz w:val="24"/>
          <w:szCs w:val="24"/>
        </w:rPr>
      </w:pPr>
      <w:r>
        <w:rPr>
          <w:rFonts w:ascii="Times New Roman" w:hAnsi="Times New Roman"/>
          <w:b/>
          <w:sz w:val="24"/>
          <w:szCs w:val="24"/>
        </w:rPr>
        <w:t>Article 16</w:t>
      </w:r>
      <w:r>
        <w:rPr>
          <w:rFonts w:ascii="Times New Roman" w:hAnsi="Times New Roman"/>
          <w:b/>
          <w:sz w:val="24"/>
          <w:szCs w:val="24"/>
        </w:rPr>
        <w:tab/>
        <w:t>Régime fiscal et douanier</w:t>
      </w:r>
    </w:p>
    <w:p w14:paraId="6AF4FC5B" w14:textId="3ECF9571" w:rsidR="00C52305" w:rsidRPr="003D6B6C" w:rsidRDefault="00C52305" w:rsidP="00C52305">
      <w:pPr>
        <w:ind w:left="1134" w:hanging="709"/>
        <w:jc w:val="both"/>
        <w:rPr>
          <w:rFonts w:ascii="Times New Roman" w:hAnsi="Times New Roman"/>
          <w:sz w:val="22"/>
          <w:szCs w:val="22"/>
        </w:rPr>
      </w:pPr>
      <w:r>
        <w:rPr>
          <w:rFonts w:ascii="Times New Roman" w:hAnsi="Times New Roman"/>
          <w:sz w:val="22"/>
          <w:szCs w:val="22"/>
        </w:rPr>
        <w:t>16.1</w:t>
      </w:r>
      <w:r>
        <w:rPr>
          <w:rFonts w:ascii="Times New Roman" w:hAnsi="Times New Roman"/>
          <w:sz w:val="22"/>
          <w:szCs w:val="22"/>
        </w:rPr>
        <w:tab/>
      </w:r>
      <w:r w:rsidR="000F5A59" w:rsidRPr="000F5A59">
        <w:rPr>
          <w:rFonts w:ascii="Times New Roman" w:hAnsi="Times New Roman"/>
          <w:sz w:val="22"/>
          <w:szCs w:val="22"/>
        </w:rPr>
        <w:t xml:space="preserve">Les conditions de </w:t>
      </w:r>
      <w:r w:rsidRPr="000F5A59">
        <w:rPr>
          <w:rFonts w:ascii="Times New Roman" w:hAnsi="Times New Roman"/>
          <w:sz w:val="22"/>
          <w:szCs w:val="22"/>
        </w:rPr>
        <w:t xml:space="preserve">livraison sont DAP comme indiqué dans les conditions générales </w:t>
      </w:r>
    </w:p>
    <w:p w14:paraId="53822BAA" w14:textId="77777777" w:rsidR="0047783A" w:rsidRPr="003D6B6C" w:rsidRDefault="0047783A" w:rsidP="00B34179">
      <w:pPr>
        <w:spacing w:before="240"/>
        <w:ind w:left="1134" w:hanging="1134"/>
        <w:jc w:val="both"/>
        <w:rPr>
          <w:rFonts w:ascii="Times New Roman" w:hAnsi="Times New Roman"/>
          <w:b/>
          <w:sz w:val="24"/>
          <w:szCs w:val="24"/>
        </w:rPr>
      </w:pPr>
      <w:bookmarkStart w:id="11" w:name="_Toc124934906"/>
      <w:r>
        <w:rPr>
          <w:rFonts w:ascii="Times New Roman" w:hAnsi="Times New Roman"/>
          <w:b/>
          <w:sz w:val="24"/>
          <w:szCs w:val="24"/>
        </w:rPr>
        <w:t>Article 17</w:t>
      </w:r>
      <w:r>
        <w:rPr>
          <w:rFonts w:ascii="Times New Roman" w:hAnsi="Times New Roman"/>
          <w:b/>
          <w:sz w:val="24"/>
          <w:szCs w:val="24"/>
        </w:rPr>
        <w:tab/>
        <w:t>Brevets et licences</w:t>
      </w:r>
      <w:bookmarkEnd w:id="11"/>
    </w:p>
    <w:p w14:paraId="43D1F54B" w14:textId="55B77EEE" w:rsidR="0047783A" w:rsidRPr="003D6B6C" w:rsidRDefault="005B0129" w:rsidP="005D03AA">
      <w:pPr>
        <w:ind w:left="1134" w:hanging="709"/>
        <w:jc w:val="both"/>
        <w:rPr>
          <w:rFonts w:ascii="Times New Roman" w:hAnsi="Times New Roman"/>
          <w:sz w:val="22"/>
          <w:szCs w:val="22"/>
        </w:rPr>
      </w:pPr>
      <w:r>
        <w:rPr>
          <w:rFonts w:ascii="Times New Roman" w:hAnsi="Times New Roman"/>
          <w:sz w:val="22"/>
          <w:szCs w:val="22"/>
        </w:rPr>
        <w:t>17.1</w:t>
      </w:r>
      <w:r>
        <w:rPr>
          <w:rFonts w:ascii="Times New Roman" w:hAnsi="Times New Roman"/>
          <w:sz w:val="22"/>
          <w:szCs w:val="22"/>
        </w:rPr>
        <w:tab/>
      </w:r>
      <w:r w:rsidR="0037763B" w:rsidRPr="000F5A59">
        <w:rPr>
          <w:rFonts w:ascii="Times New Roman" w:hAnsi="Times New Roman"/>
          <w:sz w:val="22"/>
          <w:szCs w:val="22"/>
        </w:rPr>
        <w:t>aucune</w:t>
      </w:r>
      <w:r w:rsidRPr="000F5A59">
        <w:rPr>
          <w:rFonts w:ascii="Times New Roman" w:hAnsi="Times New Roman"/>
          <w:sz w:val="22"/>
          <w:szCs w:val="22"/>
        </w:rPr>
        <w:t xml:space="preserve"> dérogation à l’article 17 des conditions générales</w:t>
      </w:r>
    </w:p>
    <w:p w14:paraId="68BC2499" w14:textId="77777777" w:rsidR="00EB32E9" w:rsidRPr="003D6B6C" w:rsidRDefault="0047783A" w:rsidP="00B34179">
      <w:pPr>
        <w:spacing w:before="240"/>
        <w:ind w:left="1134" w:hanging="1134"/>
        <w:jc w:val="both"/>
        <w:rPr>
          <w:rFonts w:ascii="Times New Roman" w:hAnsi="Times New Roman"/>
          <w:b/>
          <w:sz w:val="24"/>
          <w:szCs w:val="24"/>
        </w:rPr>
      </w:pPr>
      <w:bookmarkStart w:id="12" w:name="_Toc124934907"/>
      <w:r>
        <w:rPr>
          <w:rFonts w:ascii="Times New Roman" w:hAnsi="Times New Roman"/>
          <w:b/>
          <w:sz w:val="24"/>
          <w:szCs w:val="24"/>
        </w:rPr>
        <w:t>Article 18</w:t>
      </w:r>
      <w:r>
        <w:rPr>
          <w:rFonts w:ascii="Times New Roman" w:hAnsi="Times New Roman"/>
          <w:b/>
          <w:sz w:val="24"/>
          <w:szCs w:val="24"/>
        </w:rPr>
        <w:tab/>
        <w:t>Ordre de commencer la mise en œuvre des tâches</w:t>
      </w:r>
      <w:bookmarkEnd w:id="12"/>
      <w:r>
        <w:rPr>
          <w:rFonts w:ascii="Times New Roman" w:hAnsi="Times New Roman"/>
          <w:b/>
          <w:sz w:val="24"/>
          <w:szCs w:val="24"/>
        </w:rPr>
        <w:t xml:space="preserve"> </w:t>
      </w:r>
    </w:p>
    <w:p w14:paraId="5D9535E4" w14:textId="48E1F583" w:rsidR="00EB32E9" w:rsidRPr="003D6B6C" w:rsidRDefault="00EB32E9" w:rsidP="005D03AA">
      <w:pPr>
        <w:ind w:left="1134" w:hanging="709"/>
        <w:jc w:val="both"/>
        <w:rPr>
          <w:rFonts w:ascii="Times New Roman" w:hAnsi="Times New Roman"/>
          <w:sz w:val="22"/>
          <w:szCs w:val="22"/>
        </w:rPr>
      </w:pPr>
      <w:r>
        <w:rPr>
          <w:rFonts w:ascii="Times New Roman" w:hAnsi="Times New Roman"/>
          <w:sz w:val="22"/>
          <w:szCs w:val="22"/>
        </w:rPr>
        <w:t>18.1</w:t>
      </w:r>
      <w:r>
        <w:rPr>
          <w:rFonts w:ascii="Times New Roman" w:hAnsi="Times New Roman"/>
          <w:sz w:val="22"/>
          <w:szCs w:val="22"/>
        </w:rPr>
        <w:tab/>
      </w:r>
      <w:r w:rsidR="00401769" w:rsidRPr="00401769">
        <w:rPr>
          <w:rFonts w:ascii="Times New Roman" w:hAnsi="Times New Roman"/>
          <w:sz w:val="22"/>
          <w:szCs w:val="22"/>
          <w:lang w:val="fr"/>
        </w:rPr>
        <w:t>Le contrat entre en vigueur à la date de la signature du contrat par la dernière partie</w:t>
      </w:r>
      <w:r w:rsidR="00401769" w:rsidRPr="00401769">
        <w:rPr>
          <w:rFonts w:ascii="Times New Roman" w:hAnsi="Times New Roman"/>
          <w:sz w:val="22"/>
          <w:szCs w:val="22"/>
        </w:rPr>
        <w:t xml:space="preserve"> </w:t>
      </w:r>
    </w:p>
    <w:p w14:paraId="40415148" w14:textId="77777777" w:rsidR="0047783A" w:rsidRPr="003D6B6C" w:rsidRDefault="0047783A" w:rsidP="00B34179">
      <w:pPr>
        <w:spacing w:before="240"/>
        <w:ind w:left="1134" w:hanging="1134"/>
        <w:jc w:val="both"/>
        <w:rPr>
          <w:rFonts w:ascii="Times New Roman" w:hAnsi="Times New Roman"/>
          <w:b/>
          <w:sz w:val="24"/>
          <w:szCs w:val="24"/>
        </w:rPr>
      </w:pPr>
      <w:r>
        <w:rPr>
          <w:rFonts w:ascii="Times New Roman" w:hAnsi="Times New Roman"/>
          <w:b/>
          <w:sz w:val="24"/>
          <w:szCs w:val="24"/>
        </w:rPr>
        <w:t>Article 19</w:t>
      </w:r>
      <w:r>
        <w:rPr>
          <w:rFonts w:ascii="Times New Roman" w:hAnsi="Times New Roman"/>
          <w:b/>
          <w:sz w:val="24"/>
          <w:szCs w:val="24"/>
        </w:rPr>
        <w:tab/>
      </w:r>
      <w:bookmarkStart w:id="13" w:name="_Toc124934908"/>
      <w:r>
        <w:rPr>
          <w:rFonts w:ascii="Times New Roman" w:hAnsi="Times New Roman"/>
          <w:b/>
          <w:sz w:val="24"/>
          <w:szCs w:val="24"/>
        </w:rPr>
        <w:t>Période de mise en œuvre</w:t>
      </w:r>
      <w:bookmarkEnd w:id="13"/>
      <w:r>
        <w:rPr>
          <w:rFonts w:ascii="Times New Roman" w:hAnsi="Times New Roman"/>
          <w:b/>
          <w:sz w:val="24"/>
          <w:szCs w:val="24"/>
        </w:rPr>
        <w:t xml:space="preserve"> des tâches</w:t>
      </w:r>
    </w:p>
    <w:p w14:paraId="24D80EC0" w14:textId="738A3C69" w:rsidR="0047783A" w:rsidRPr="003D6B6C" w:rsidRDefault="0047783A" w:rsidP="005D03AA">
      <w:pPr>
        <w:ind w:left="1134" w:hanging="709"/>
        <w:jc w:val="both"/>
        <w:rPr>
          <w:rFonts w:ascii="Times New Roman" w:hAnsi="Times New Roman"/>
          <w:b/>
          <w:sz w:val="22"/>
          <w:szCs w:val="22"/>
        </w:rPr>
      </w:pPr>
      <w:r>
        <w:rPr>
          <w:rFonts w:ascii="Times New Roman" w:hAnsi="Times New Roman"/>
          <w:sz w:val="22"/>
          <w:szCs w:val="22"/>
        </w:rPr>
        <w:t>19.1</w:t>
      </w:r>
      <w:r>
        <w:rPr>
          <w:rFonts w:ascii="Times New Roman" w:hAnsi="Times New Roman"/>
          <w:b/>
          <w:sz w:val="22"/>
          <w:szCs w:val="22"/>
        </w:rPr>
        <w:tab/>
      </w:r>
      <w:r w:rsidR="00F63BE6" w:rsidRPr="00F63BE6">
        <w:rPr>
          <w:rFonts w:ascii="Times New Roman" w:hAnsi="Times New Roman"/>
          <w:bCs/>
          <w:sz w:val="22"/>
          <w:szCs w:val="22"/>
          <w:lang w:val="fr"/>
        </w:rPr>
        <w:t>Le délai de mise en œuvre des tâches est de 60 jours à compter de la date spécifiée à l’article 18.1</w:t>
      </w:r>
    </w:p>
    <w:p w14:paraId="0FBA9C31" w14:textId="77777777" w:rsidR="0047783A" w:rsidRPr="003D6B6C" w:rsidRDefault="0047783A" w:rsidP="00B34179">
      <w:pPr>
        <w:spacing w:before="240"/>
        <w:ind w:left="1134" w:hanging="1134"/>
        <w:jc w:val="both"/>
        <w:rPr>
          <w:rFonts w:ascii="Times New Roman" w:hAnsi="Times New Roman"/>
          <w:b/>
          <w:sz w:val="24"/>
          <w:szCs w:val="24"/>
        </w:rPr>
      </w:pPr>
      <w:bookmarkStart w:id="14" w:name="_Toc124934910"/>
      <w:r>
        <w:rPr>
          <w:rFonts w:ascii="Times New Roman" w:hAnsi="Times New Roman"/>
          <w:b/>
          <w:sz w:val="24"/>
          <w:szCs w:val="24"/>
        </w:rPr>
        <w:t>Article 24</w:t>
      </w:r>
      <w:r>
        <w:rPr>
          <w:rFonts w:ascii="Times New Roman" w:hAnsi="Times New Roman"/>
          <w:b/>
          <w:sz w:val="24"/>
          <w:szCs w:val="24"/>
        </w:rPr>
        <w:tab/>
        <w:t>Qualité des fournitures</w:t>
      </w:r>
      <w:bookmarkEnd w:id="14"/>
    </w:p>
    <w:p w14:paraId="0506BF5F" w14:textId="0BFE3DC0" w:rsidR="0047783A" w:rsidRPr="003D6B6C" w:rsidRDefault="005B0129" w:rsidP="005D03AA">
      <w:pPr>
        <w:ind w:left="1134" w:hanging="709"/>
        <w:jc w:val="both"/>
        <w:rPr>
          <w:rFonts w:ascii="Times New Roman" w:hAnsi="Times New Roman"/>
          <w:sz w:val="22"/>
          <w:szCs w:val="22"/>
        </w:rPr>
      </w:pPr>
      <w:r>
        <w:rPr>
          <w:rFonts w:ascii="Times New Roman" w:hAnsi="Times New Roman"/>
          <w:sz w:val="22"/>
          <w:szCs w:val="22"/>
        </w:rPr>
        <w:lastRenderedPageBreak/>
        <w:t>24.2</w:t>
      </w:r>
      <w:r>
        <w:rPr>
          <w:rFonts w:ascii="Times New Roman" w:hAnsi="Times New Roman"/>
          <w:sz w:val="22"/>
          <w:szCs w:val="22"/>
        </w:rPr>
        <w:tab/>
      </w:r>
      <w:r w:rsidR="00494E3F" w:rsidRPr="00494E3F">
        <w:rPr>
          <w:rFonts w:ascii="Times New Roman" w:hAnsi="Times New Roman"/>
          <w:sz w:val="22"/>
          <w:szCs w:val="22"/>
          <w:lang w:val="fr"/>
        </w:rPr>
        <w:t>Une réception technique préliminaire sera effectuée par le Maitre d’ouvrage, préalablement à la réception provisoire contractuelle proprement dite. Cette réception préliminaire dont l’objectif sera, de vérifier la remise des documents prévus à l’article 7 du présent contrat ainsi que les détails des fournitures livrées (numéro de châssis, numéro de série, numéro du moteur), fera l’objet d’un procès-verbal signé par tous les membres ayant pris par a cette réception</w:t>
      </w:r>
    </w:p>
    <w:p w14:paraId="6EE8627F" w14:textId="77777777" w:rsidR="0047783A" w:rsidRPr="003D6B6C" w:rsidRDefault="0047783A" w:rsidP="00B34179">
      <w:pPr>
        <w:spacing w:before="240"/>
        <w:ind w:left="1134" w:hanging="1134"/>
        <w:jc w:val="both"/>
        <w:rPr>
          <w:rFonts w:ascii="Times New Roman" w:hAnsi="Times New Roman"/>
          <w:b/>
          <w:sz w:val="24"/>
          <w:szCs w:val="24"/>
        </w:rPr>
      </w:pPr>
      <w:bookmarkStart w:id="15" w:name="_Toc124934911"/>
      <w:r>
        <w:rPr>
          <w:rFonts w:ascii="Times New Roman" w:hAnsi="Times New Roman"/>
          <w:b/>
          <w:sz w:val="24"/>
          <w:szCs w:val="24"/>
        </w:rPr>
        <w:t>Article 25</w:t>
      </w:r>
      <w:r>
        <w:rPr>
          <w:rFonts w:ascii="Times New Roman" w:hAnsi="Times New Roman"/>
          <w:b/>
          <w:sz w:val="24"/>
          <w:szCs w:val="24"/>
        </w:rPr>
        <w:tab/>
        <w:t>Inspection et test</w:t>
      </w:r>
      <w:bookmarkEnd w:id="15"/>
    </w:p>
    <w:p w14:paraId="64178ACF" w14:textId="1A8516C8" w:rsidR="0047783A" w:rsidRPr="003D6B6C" w:rsidRDefault="005B0129" w:rsidP="005D03AA">
      <w:pPr>
        <w:ind w:left="1134" w:hanging="709"/>
        <w:jc w:val="both"/>
        <w:rPr>
          <w:rFonts w:ascii="Times New Roman" w:hAnsi="Times New Roman"/>
          <w:b/>
          <w:sz w:val="22"/>
          <w:szCs w:val="22"/>
        </w:rPr>
      </w:pPr>
      <w:r>
        <w:rPr>
          <w:rFonts w:ascii="Times New Roman" w:hAnsi="Times New Roman"/>
          <w:bCs/>
          <w:sz w:val="22"/>
          <w:szCs w:val="22"/>
        </w:rPr>
        <w:t>25.2</w:t>
      </w:r>
      <w:r>
        <w:rPr>
          <w:rFonts w:ascii="Times New Roman" w:hAnsi="Times New Roman"/>
          <w:bCs/>
          <w:sz w:val="22"/>
          <w:szCs w:val="22"/>
        </w:rPr>
        <w:tab/>
      </w:r>
      <w:r w:rsidR="00BE1CD5">
        <w:rPr>
          <w:rFonts w:ascii="Times New Roman" w:hAnsi="Times New Roman"/>
          <w:bCs/>
          <w:sz w:val="22"/>
          <w:szCs w:val="22"/>
        </w:rPr>
        <w:t xml:space="preserve">Si jugé pertinent, </w:t>
      </w:r>
      <w:r w:rsidR="0027289A">
        <w:rPr>
          <w:rFonts w:ascii="Times New Roman" w:hAnsi="Times New Roman"/>
          <w:bCs/>
          <w:sz w:val="22"/>
          <w:szCs w:val="22"/>
          <w:lang w:val="fr"/>
        </w:rPr>
        <w:t>d</w:t>
      </w:r>
      <w:r w:rsidR="00BE1CD5" w:rsidRPr="00BE1CD5">
        <w:rPr>
          <w:rFonts w:ascii="Times New Roman" w:hAnsi="Times New Roman"/>
          <w:bCs/>
          <w:sz w:val="22"/>
          <w:szCs w:val="22"/>
          <w:lang w:val="fr"/>
        </w:rPr>
        <w:t xml:space="preserve">es tests de fonctionnement des équipements seront effectués suite à leur mise en service par le Titulaire. Il s’agira de faire des essais de fonctionnement en présence des membres du comité de réception. </w:t>
      </w:r>
    </w:p>
    <w:p w14:paraId="76351DF5" w14:textId="77777777" w:rsidR="0047783A" w:rsidRPr="003D6B6C" w:rsidRDefault="0047783A" w:rsidP="00B34179">
      <w:pPr>
        <w:spacing w:before="240"/>
        <w:ind w:left="1134" w:hanging="1134"/>
        <w:jc w:val="both"/>
        <w:rPr>
          <w:rFonts w:ascii="Times New Roman" w:hAnsi="Times New Roman"/>
          <w:b/>
          <w:sz w:val="24"/>
          <w:szCs w:val="24"/>
        </w:rPr>
      </w:pPr>
      <w:bookmarkStart w:id="16" w:name="_Toc124934912"/>
      <w:r>
        <w:rPr>
          <w:rFonts w:ascii="Times New Roman" w:hAnsi="Times New Roman"/>
          <w:b/>
          <w:sz w:val="24"/>
          <w:szCs w:val="24"/>
        </w:rPr>
        <w:t>Article 26</w:t>
      </w:r>
      <w:r>
        <w:rPr>
          <w:rFonts w:ascii="Times New Roman" w:hAnsi="Times New Roman"/>
          <w:b/>
          <w:sz w:val="24"/>
          <w:szCs w:val="24"/>
        </w:rPr>
        <w:tab/>
      </w:r>
      <w:bookmarkEnd w:id="16"/>
      <w:r>
        <w:rPr>
          <w:rFonts w:ascii="Times New Roman" w:hAnsi="Times New Roman"/>
          <w:b/>
          <w:sz w:val="24"/>
          <w:szCs w:val="24"/>
        </w:rPr>
        <w:t>Principes généraux des paiements</w:t>
      </w:r>
    </w:p>
    <w:p w14:paraId="6ECB3C62" w14:textId="3E1D25EE" w:rsidR="0047783A" w:rsidRPr="003D6B6C" w:rsidRDefault="0047783A" w:rsidP="005D03AA">
      <w:pPr>
        <w:tabs>
          <w:tab w:val="right" w:pos="9885"/>
        </w:tabs>
        <w:ind w:left="1134" w:hanging="709"/>
        <w:jc w:val="both"/>
        <w:rPr>
          <w:rFonts w:ascii="Times New Roman" w:hAnsi="Times New Roman"/>
          <w:sz w:val="22"/>
          <w:szCs w:val="22"/>
        </w:rPr>
      </w:pPr>
      <w:r>
        <w:rPr>
          <w:rFonts w:ascii="Times New Roman" w:hAnsi="Times New Roman"/>
          <w:sz w:val="22"/>
          <w:szCs w:val="22"/>
        </w:rPr>
        <w:t>26.1</w:t>
      </w:r>
      <w:r>
        <w:rPr>
          <w:rFonts w:ascii="Times New Roman" w:hAnsi="Times New Roman"/>
          <w:sz w:val="22"/>
          <w:szCs w:val="22"/>
        </w:rPr>
        <w:tab/>
        <w:t xml:space="preserve">Les paiements sont effectués en </w:t>
      </w:r>
      <w:r w:rsidR="000F5A59">
        <w:rPr>
          <w:rFonts w:ascii="Times New Roman" w:hAnsi="Times New Roman"/>
          <w:sz w:val="22"/>
          <w:szCs w:val="22"/>
        </w:rPr>
        <w:t>gourdes (HTG).</w:t>
      </w:r>
      <w:r>
        <w:rPr>
          <w:rFonts w:ascii="Times New Roman" w:hAnsi="Times New Roman"/>
          <w:sz w:val="22"/>
          <w:szCs w:val="22"/>
        </w:rPr>
        <w:t xml:space="preserve"> </w:t>
      </w:r>
    </w:p>
    <w:p w14:paraId="19044AB3" w14:textId="789F664C" w:rsidR="005523CC" w:rsidRDefault="0047783A" w:rsidP="005D03AA">
      <w:pPr>
        <w:ind w:left="1134"/>
        <w:jc w:val="both"/>
        <w:rPr>
          <w:rFonts w:ascii="Times New Roman" w:hAnsi="Times New Roman"/>
          <w:sz w:val="22"/>
          <w:szCs w:val="22"/>
        </w:rPr>
      </w:pPr>
      <w:r>
        <w:rPr>
          <w:rFonts w:ascii="Times New Roman" w:hAnsi="Times New Roman"/>
          <w:sz w:val="22"/>
          <w:szCs w:val="22"/>
        </w:rPr>
        <w:t xml:space="preserve">Les paiements sont autorisés et effectués par </w:t>
      </w:r>
      <w:r w:rsidR="00851BCF">
        <w:rPr>
          <w:rFonts w:ascii="Times New Roman" w:hAnsi="Times New Roman"/>
          <w:sz w:val="22"/>
          <w:szCs w:val="22"/>
        </w:rPr>
        <w:t>virement bancaire par la Régie du programme</w:t>
      </w:r>
      <w:r w:rsidR="005523CC">
        <w:rPr>
          <w:rFonts w:ascii="Times New Roman" w:hAnsi="Times New Roman"/>
          <w:sz w:val="22"/>
          <w:szCs w:val="22"/>
        </w:rPr>
        <w:t xml:space="preserve"> sise au : 19, Rue Pinchinat. Petion Ville</w:t>
      </w:r>
      <w:r w:rsidR="00704A7B">
        <w:rPr>
          <w:rFonts w:ascii="Times New Roman" w:hAnsi="Times New Roman"/>
          <w:sz w:val="22"/>
          <w:szCs w:val="22"/>
        </w:rPr>
        <w:t>. Haïti.</w:t>
      </w:r>
    </w:p>
    <w:p w14:paraId="10748F0B" w14:textId="1F7C6785" w:rsidR="005C29BE" w:rsidRPr="003D6B6C" w:rsidRDefault="006D5CEE" w:rsidP="005C29BE">
      <w:pPr>
        <w:ind w:left="1134" w:hanging="709"/>
        <w:jc w:val="both"/>
        <w:rPr>
          <w:rFonts w:ascii="Times New Roman" w:hAnsi="Times New Roman"/>
          <w:sz w:val="22"/>
          <w:szCs w:val="22"/>
        </w:rPr>
      </w:pPr>
      <w:r>
        <w:rPr>
          <w:rFonts w:ascii="Times New Roman" w:hAnsi="Times New Roman"/>
          <w:sz w:val="22"/>
          <w:szCs w:val="22"/>
        </w:rPr>
        <w:t>26.3</w:t>
      </w:r>
      <w:r>
        <w:rPr>
          <w:rFonts w:ascii="Times New Roman" w:hAnsi="Times New Roman"/>
          <w:sz w:val="22"/>
          <w:szCs w:val="22"/>
        </w:rPr>
        <w:tab/>
      </w:r>
      <w:r w:rsidR="00CD4C7A">
        <w:rPr>
          <w:rFonts w:ascii="Times New Roman" w:hAnsi="Times New Roman"/>
          <w:sz w:val="22"/>
          <w:szCs w:val="22"/>
        </w:rPr>
        <w:t xml:space="preserve">n/a </w:t>
      </w:r>
    </w:p>
    <w:p w14:paraId="15339C96" w14:textId="04FE0932" w:rsidR="008733D3" w:rsidRPr="003D6B6C" w:rsidRDefault="008733D3" w:rsidP="0011156A">
      <w:pPr>
        <w:ind w:left="1134"/>
        <w:jc w:val="both"/>
        <w:rPr>
          <w:rFonts w:ascii="Times New Roman" w:hAnsi="Times New Roman"/>
          <w:sz w:val="22"/>
          <w:szCs w:val="22"/>
        </w:rPr>
      </w:pPr>
    </w:p>
    <w:p w14:paraId="780AD638" w14:textId="024C237D" w:rsidR="001B4DA9" w:rsidRPr="003D6B6C" w:rsidRDefault="00E87734" w:rsidP="005D03AA">
      <w:pPr>
        <w:ind w:left="1134" w:hanging="709"/>
        <w:jc w:val="both"/>
        <w:rPr>
          <w:rFonts w:ascii="Times New Roman" w:hAnsi="Times New Roman"/>
          <w:sz w:val="22"/>
          <w:szCs w:val="22"/>
        </w:rPr>
      </w:pPr>
      <w:r>
        <w:rPr>
          <w:rFonts w:ascii="Times New Roman" w:hAnsi="Times New Roman"/>
          <w:sz w:val="22"/>
          <w:szCs w:val="22"/>
        </w:rPr>
        <w:t>26.5</w:t>
      </w:r>
      <w:r>
        <w:rPr>
          <w:rFonts w:ascii="Times New Roman" w:hAnsi="Times New Roman"/>
          <w:sz w:val="22"/>
          <w:szCs w:val="22"/>
        </w:rPr>
        <w:tab/>
        <w:t>En vue d’obtenir les paiements, le contractant doit introduire auprès de l’autorité visée à l’article 26, paragraphe 1, ci-</w:t>
      </w:r>
      <w:r w:rsidR="000F5A59">
        <w:rPr>
          <w:rFonts w:ascii="Times New Roman" w:hAnsi="Times New Roman"/>
          <w:sz w:val="22"/>
          <w:szCs w:val="22"/>
        </w:rPr>
        <w:t>dessus :</w:t>
      </w:r>
    </w:p>
    <w:p w14:paraId="3E7AC118" w14:textId="3EC8FB72" w:rsidR="0057491F" w:rsidRPr="00114CC0" w:rsidRDefault="00035D61" w:rsidP="0057491F">
      <w:pPr>
        <w:ind w:left="1560" w:hanging="426"/>
        <w:jc w:val="both"/>
        <w:rPr>
          <w:rFonts w:ascii="Times New Roman" w:hAnsi="Times New Roman"/>
          <w:sz w:val="22"/>
          <w:szCs w:val="22"/>
        </w:rPr>
      </w:pPr>
      <w:r w:rsidRPr="00114CC0">
        <w:rPr>
          <w:rFonts w:ascii="Times New Roman" w:hAnsi="Times New Roman"/>
          <w:sz w:val="22"/>
          <w:szCs w:val="22"/>
        </w:rPr>
        <w:t>a)</w:t>
      </w:r>
      <w:r w:rsidRPr="00114CC0">
        <w:rPr>
          <w:rFonts w:ascii="Times New Roman" w:hAnsi="Times New Roman"/>
          <w:b/>
          <w:sz w:val="22"/>
          <w:szCs w:val="22"/>
        </w:rPr>
        <w:tab/>
      </w:r>
      <w:r w:rsidRPr="00114CC0">
        <w:rPr>
          <w:rFonts w:ascii="Times New Roman" w:hAnsi="Times New Roman"/>
          <w:bCs/>
          <w:sz w:val="22"/>
          <w:szCs w:val="22"/>
        </w:rPr>
        <w:t>Pour le préfinancement de 40 %</w:t>
      </w:r>
      <w:r w:rsidRPr="00114CC0">
        <w:rPr>
          <w:rFonts w:ascii="Times New Roman" w:hAnsi="Times New Roman"/>
          <w:sz w:val="22"/>
          <w:szCs w:val="22"/>
        </w:rPr>
        <w:t xml:space="preserve">, </w:t>
      </w:r>
    </w:p>
    <w:p w14:paraId="4B2D934E" w14:textId="5567997F" w:rsidR="00695007" w:rsidRPr="00114CC0" w:rsidRDefault="00695007" w:rsidP="0057491F">
      <w:pPr>
        <w:ind w:left="1560" w:hanging="426"/>
        <w:jc w:val="both"/>
        <w:rPr>
          <w:rFonts w:ascii="Times New Roman" w:hAnsi="Times New Roman"/>
          <w:bCs/>
          <w:sz w:val="22"/>
          <w:szCs w:val="22"/>
        </w:rPr>
      </w:pPr>
      <w:r w:rsidRPr="00114CC0">
        <w:rPr>
          <w:rFonts w:ascii="Times New Roman" w:hAnsi="Times New Roman"/>
          <w:bCs/>
          <w:sz w:val="22"/>
          <w:szCs w:val="22"/>
        </w:rPr>
        <w:t>Par dérogation à l’article 26, paragraphe 5, des conditions générales, aucune garantie de préfinancement n’est exigée.</w:t>
      </w:r>
    </w:p>
    <w:p w14:paraId="2E78F9B8" w14:textId="77777777" w:rsidR="00695007" w:rsidRPr="00114CC0" w:rsidRDefault="00695007" w:rsidP="00035D61">
      <w:pPr>
        <w:spacing w:before="0" w:after="0"/>
        <w:ind w:left="1985" w:hanging="284"/>
        <w:jc w:val="both"/>
        <w:rPr>
          <w:rFonts w:ascii="Times New Roman" w:hAnsi="Times New Roman"/>
          <w:bCs/>
          <w:sz w:val="22"/>
          <w:szCs w:val="22"/>
        </w:rPr>
      </w:pPr>
    </w:p>
    <w:p w14:paraId="1707D0AC" w14:textId="62DAE218" w:rsidR="0047783A" w:rsidRPr="00114CC0" w:rsidRDefault="0047783A" w:rsidP="00035D61">
      <w:pPr>
        <w:spacing w:after="0"/>
        <w:ind w:left="1559" w:hanging="425"/>
        <w:jc w:val="both"/>
        <w:rPr>
          <w:rFonts w:ascii="Times New Roman" w:hAnsi="Times New Roman"/>
          <w:sz w:val="22"/>
          <w:szCs w:val="22"/>
        </w:rPr>
      </w:pPr>
      <w:r w:rsidRPr="00114CC0">
        <w:rPr>
          <w:rFonts w:ascii="Times New Roman" w:hAnsi="Times New Roman"/>
          <w:sz w:val="22"/>
          <w:szCs w:val="22"/>
        </w:rPr>
        <w:t>b)</w:t>
      </w:r>
      <w:r w:rsidRPr="00114CC0">
        <w:rPr>
          <w:rFonts w:ascii="Times New Roman" w:hAnsi="Times New Roman"/>
          <w:b/>
          <w:sz w:val="22"/>
          <w:szCs w:val="22"/>
        </w:rPr>
        <w:tab/>
      </w:r>
      <w:r w:rsidRPr="00114CC0">
        <w:rPr>
          <w:rFonts w:ascii="Times New Roman" w:hAnsi="Times New Roman"/>
          <w:bCs/>
          <w:sz w:val="22"/>
          <w:szCs w:val="22"/>
        </w:rPr>
        <w:t>Pour le paiement du solde de 60 %</w:t>
      </w:r>
      <w:r w:rsidRPr="00114CC0">
        <w:rPr>
          <w:rFonts w:ascii="Times New Roman" w:hAnsi="Times New Roman"/>
          <w:sz w:val="22"/>
          <w:szCs w:val="22"/>
        </w:rPr>
        <w:t xml:space="preserve"> la (les) facture(s) en [trois exemplaires] ainsi que la demande de réception provisoire des fournitures.</w:t>
      </w:r>
    </w:p>
    <w:p w14:paraId="21DD1760" w14:textId="38A6C11C" w:rsidR="0047783A" w:rsidRPr="00114CC0" w:rsidRDefault="0047783A" w:rsidP="006B145B">
      <w:pPr>
        <w:tabs>
          <w:tab w:val="right" w:pos="9885"/>
        </w:tabs>
        <w:ind w:left="1134" w:hanging="709"/>
        <w:jc w:val="both"/>
        <w:rPr>
          <w:rFonts w:ascii="Times New Roman" w:hAnsi="Times New Roman"/>
          <w:b/>
          <w:sz w:val="22"/>
          <w:szCs w:val="22"/>
        </w:rPr>
      </w:pPr>
      <w:r w:rsidRPr="00114CC0">
        <w:rPr>
          <w:rFonts w:ascii="Times New Roman" w:hAnsi="Times New Roman"/>
          <w:sz w:val="22"/>
          <w:szCs w:val="22"/>
        </w:rPr>
        <w:t>26.9</w:t>
      </w:r>
      <w:r w:rsidRPr="00114CC0">
        <w:rPr>
          <w:rFonts w:ascii="Times New Roman" w:hAnsi="Times New Roman"/>
          <w:b/>
          <w:sz w:val="22"/>
          <w:szCs w:val="22"/>
        </w:rPr>
        <w:tab/>
      </w:r>
      <w:r w:rsidR="00322899" w:rsidRPr="00114CC0">
        <w:rPr>
          <w:rFonts w:ascii="Times New Roman" w:hAnsi="Times New Roman"/>
          <w:bCs/>
          <w:sz w:val="22"/>
          <w:szCs w:val="22"/>
        </w:rPr>
        <w:t>Les prix sont fermes et non révisable</w:t>
      </w:r>
      <w:r w:rsidR="0095376F" w:rsidRPr="00114CC0">
        <w:rPr>
          <w:rFonts w:ascii="Times New Roman" w:hAnsi="Times New Roman"/>
          <w:bCs/>
          <w:sz w:val="22"/>
          <w:szCs w:val="22"/>
        </w:rPr>
        <w:t>s</w:t>
      </w:r>
    </w:p>
    <w:p w14:paraId="39D67CE4" w14:textId="77777777" w:rsidR="0047783A" w:rsidRPr="00114CC0" w:rsidRDefault="0047783A" w:rsidP="00B34179">
      <w:pPr>
        <w:spacing w:before="240"/>
        <w:ind w:left="1134" w:hanging="1134"/>
        <w:jc w:val="both"/>
        <w:rPr>
          <w:rFonts w:ascii="Times New Roman" w:hAnsi="Times New Roman"/>
          <w:b/>
          <w:sz w:val="24"/>
          <w:szCs w:val="24"/>
        </w:rPr>
      </w:pPr>
      <w:bookmarkStart w:id="17" w:name="_Toc124934913"/>
      <w:r w:rsidRPr="00114CC0">
        <w:rPr>
          <w:rFonts w:ascii="Times New Roman" w:hAnsi="Times New Roman"/>
          <w:b/>
          <w:sz w:val="24"/>
          <w:szCs w:val="24"/>
        </w:rPr>
        <w:t>Article 28</w:t>
      </w:r>
      <w:r w:rsidRPr="00114CC0">
        <w:rPr>
          <w:rFonts w:ascii="Times New Roman" w:hAnsi="Times New Roman"/>
          <w:b/>
          <w:sz w:val="24"/>
          <w:szCs w:val="24"/>
        </w:rPr>
        <w:tab/>
        <w:t>Retards de paiement</w:t>
      </w:r>
    </w:p>
    <w:p w14:paraId="3B64B1B3" w14:textId="11C9DF85" w:rsidR="0047783A" w:rsidRPr="00114CC0" w:rsidRDefault="0047783A" w:rsidP="0095376F">
      <w:pPr>
        <w:autoSpaceDE w:val="0"/>
        <w:autoSpaceDN w:val="0"/>
        <w:adjustRightInd w:val="0"/>
        <w:ind w:left="1134" w:hanging="709"/>
        <w:jc w:val="both"/>
        <w:rPr>
          <w:rFonts w:ascii="Times New Roman" w:hAnsi="Times New Roman"/>
          <w:snapToGrid/>
          <w:sz w:val="22"/>
          <w:szCs w:val="22"/>
        </w:rPr>
      </w:pPr>
      <w:r w:rsidRPr="00114CC0">
        <w:rPr>
          <w:rFonts w:ascii="Times New Roman" w:hAnsi="Times New Roman"/>
          <w:sz w:val="22"/>
          <w:szCs w:val="22"/>
        </w:rPr>
        <w:t>28.2</w:t>
      </w:r>
      <w:r w:rsidRPr="00114CC0">
        <w:rPr>
          <w:rFonts w:ascii="Times New Roman" w:hAnsi="Times New Roman"/>
          <w:b/>
          <w:sz w:val="22"/>
          <w:szCs w:val="22"/>
        </w:rPr>
        <w:tab/>
      </w:r>
      <w:r w:rsidRPr="00114CC0">
        <w:rPr>
          <w:rFonts w:ascii="Times New Roman" w:hAnsi="Times New Roman"/>
          <w:snapToGrid/>
          <w:sz w:val="22"/>
          <w:szCs w:val="22"/>
        </w:rPr>
        <w:t>Par dérogation à l’article 28, paragraphe 2, des conditions générales</w:t>
      </w:r>
      <w:r w:rsidRPr="00114CC0">
        <w:rPr>
          <w:rFonts w:ascii="Times New Roman" w:hAnsi="Times New Roman"/>
          <w:sz w:val="22"/>
          <w:szCs w:val="22"/>
        </w:rPr>
        <w:t xml:space="preserve">, à l’expiration du délai prévu à l’article 26, paragraphe 3, il est versé au contractant des intérêts de retard s’il en fait la demande au taux et pour </w:t>
      </w:r>
      <w:proofErr w:type="gramStart"/>
      <w:r w:rsidRPr="00114CC0">
        <w:rPr>
          <w:rFonts w:ascii="Times New Roman" w:hAnsi="Times New Roman"/>
          <w:sz w:val="22"/>
          <w:szCs w:val="22"/>
        </w:rPr>
        <w:t>la période visés</w:t>
      </w:r>
      <w:proofErr w:type="gramEnd"/>
      <w:r w:rsidRPr="00114CC0">
        <w:rPr>
          <w:rFonts w:ascii="Times New Roman" w:hAnsi="Times New Roman"/>
          <w:sz w:val="22"/>
          <w:szCs w:val="22"/>
        </w:rPr>
        <w:t xml:space="preserve"> aux conditions générales. La demande doit être reçue dans les deux mois suivant la date du paiement tardif.</w:t>
      </w:r>
      <w:r w:rsidRPr="00114CC0">
        <w:rPr>
          <w:rFonts w:ascii="Times New Roman" w:hAnsi="Times New Roman"/>
          <w:snapToGrid/>
          <w:sz w:val="22"/>
          <w:szCs w:val="22"/>
        </w:rPr>
        <w:t>]</w:t>
      </w:r>
    </w:p>
    <w:p w14:paraId="210201A9" w14:textId="77777777" w:rsidR="0047783A" w:rsidRPr="00114CC0" w:rsidRDefault="0047783A" w:rsidP="00B34179">
      <w:pPr>
        <w:spacing w:before="240"/>
        <w:ind w:left="1134" w:hanging="1134"/>
        <w:jc w:val="both"/>
        <w:rPr>
          <w:rFonts w:ascii="Times New Roman" w:hAnsi="Times New Roman"/>
          <w:b/>
          <w:sz w:val="24"/>
          <w:szCs w:val="24"/>
        </w:rPr>
      </w:pPr>
      <w:r w:rsidRPr="00114CC0">
        <w:rPr>
          <w:rFonts w:ascii="Times New Roman" w:hAnsi="Times New Roman"/>
          <w:b/>
          <w:sz w:val="24"/>
          <w:szCs w:val="24"/>
        </w:rPr>
        <w:t>Article 29</w:t>
      </w:r>
      <w:r w:rsidRPr="00114CC0">
        <w:rPr>
          <w:rFonts w:ascii="Times New Roman" w:hAnsi="Times New Roman"/>
          <w:b/>
          <w:sz w:val="24"/>
          <w:szCs w:val="24"/>
        </w:rPr>
        <w:tab/>
        <w:t>Livraison</w:t>
      </w:r>
      <w:bookmarkEnd w:id="17"/>
    </w:p>
    <w:p w14:paraId="4517A6CF" w14:textId="5CD4B00B" w:rsidR="0047783A" w:rsidRPr="003D6B6C" w:rsidRDefault="0047783A" w:rsidP="005F406F">
      <w:pPr>
        <w:ind w:left="1134" w:hanging="709"/>
        <w:jc w:val="both"/>
        <w:rPr>
          <w:rFonts w:ascii="Times New Roman" w:hAnsi="Times New Roman"/>
          <w:sz w:val="22"/>
          <w:szCs w:val="22"/>
        </w:rPr>
      </w:pPr>
      <w:r w:rsidRPr="00114CC0">
        <w:rPr>
          <w:rFonts w:ascii="Times New Roman" w:hAnsi="Times New Roman"/>
          <w:sz w:val="22"/>
          <w:szCs w:val="22"/>
        </w:rPr>
        <w:t>29.3</w:t>
      </w:r>
      <w:r w:rsidRPr="00114CC0">
        <w:rPr>
          <w:rFonts w:ascii="Times New Roman" w:hAnsi="Times New Roman"/>
          <w:b/>
          <w:sz w:val="22"/>
          <w:szCs w:val="22"/>
        </w:rPr>
        <w:tab/>
      </w:r>
      <w:r w:rsidRPr="00114CC0">
        <w:rPr>
          <w:rFonts w:ascii="Times New Roman" w:hAnsi="Times New Roman"/>
          <w:sz w:val="22"/>
          <w:szCs w:val="22"/>
        </w:rPr>
        <w:t>[Les emballages deviennent la propriété du bénéficiaire, sous réserve de respecter l’environnement].</w:t>
      </w:r>
    </w:p>
    <w:p w14:paraId="37672206" w14:textId="1C0298FD" w:rsidR="0047783A" w:rsidRPr="003D6B6C" w:rsidRDefault="0047783A" w:rsidP="0049293D">
      <w:pPr>
        <w:ind w:left="1134"/>
        <w:jc w:val="both"/>
        <w:rPr>
          <w:rFonts w:ascii="Times New Roman" w:hAnsi="Times New Roman"/>
          <w:b/>
          <w:sz w:val="22"/>
          <w:szCs w:val="22"/>
        </w:rPr>
      </w:pPr>
    </w:p>
    <w:p w14:paraId="0A911D52" w14:textId="4F44FB8C" w:rsidR="0047783A" w:rsidRPr="003D6B6C" w:rsidRDefault="0047783A" w:rsidP="006B145B">
      <w:pPr>
        <w:ind w:left="1134" w:hanging="1134"/>
        <w:jc w:val="both"/>
        <w:rPr>
          <w:rFonts w:ascii="Times New Roman" w:hAnsi="Times New Roman"/>
          <w:sz w:val="22"/>
          <w:szCs w:val="22"/>
        </w:rPr>
      </w:pPr>
      <w:r>
        <w:rPr>
          <w:rFonts w:ascii="Times New Roman" w:hAnsi="Times New Roman"/>
          <w:sz w:val="22"/>
          <w:szCs w:val="22"/>
        </w:rPr>
        <w:lastRenderedPageBreak/>
        <w:t>29.5, 29.6 et 29.7</w:t>
      </w:r>
      <w:r>
        <w:rPr>
          <w:rFonts w:ascii="Times New Roman" w:hAnsi="Times New Roman"/>
          <w:sz w:val="22"/>
          <w:szCs w:val="22"/>
        </w:rPr>
        <w:tab/>
      </w:r>
      <w:r w:rsidR="00BD1004" w:rsidRPr="00BD1004">
        <w:rPr>
          <w:rFonts w:ascii="Times New Roman" w:hAnsi="Times New Roman"/>
          <w:sz w:val="22"/>
          <w:szCs w:val="22"/>
          <w:lang w:val="fr"/>
        </w:rPr>
        <w:t>Chaque livraison est accompagnée d’un document établi par le titulaire comportant la date de livraison, le numéro de référence du marché, l’identification du titulaire et le détail des fournitures livrées (numéro de châssis, numéro de série, numéro du moteur).</w:t>
      </w:r>
    </w:p>
    <w:p w14:paraId="7C1E7DCB" w14:textId="77777777" w:rsidR="0047783A" w:rsidRPr="003D6B6C" w:rsidRDefault="0047783A" w:rsidP="00B34179">
      <w:pPr>
        <w:spacing w:before="240"/>
        <w:ind w:left="1134" w:hanging="1134"/>
        <w:jc w:val="both"/>
        <w:rPr>
          <w:rFonts w:ascii="Times New Roman" w:hAnsi="Times New Roman"/>
          <w:b/>
          <w:sz w:val="24"/>
          <w:szCs w:val="24"/>
        </w:rPr>
      </w:pPr>
      <w:bookmarkStart w:id="18" w:name="_Toc124934914"/>
      <w:r>
        <w:rPr>
          <w:rFonts w:ascii="Times New Roman" w:hAnsi="Times New Roman"/>
          <w:b/>
          <w:sz w:val="24"/>
          <w:szCs w:val="24"/>
        </w:rPr>
        <w:t>Article 31</w:t>
      </w:r>
      <w:r>
        <w:rPr>
          <w:rFonts w:ascii="Times New Roman" w:hAnsi="Times New Roman"/>
          <w:b/>
          <w:sz w:val="24"/>
          <w:szCs w:val="24"/>
        </w:rPr>
        <w:tab/>
        <w:t>Réception provisoire</w:t>
      </w:r>
      <w:bookmarkEnd w:id="18"/>
    </w:p>
    <w:p w14:paraId="55B57621" w14:textId="77777777" w:rsidR="00E22C44" w:rsidRPr="00E22C44" w:rsidRDefault="0047783A" w:rsidP="00E22C44">
      <w:pPr>
        <w:jc w:val="both"/>
        <w:rPr>
          <w:rFonts w:ascii="Times New Roman" w:hAnsi="Times New Roman"/>
          <w:sz w:val="22"/>
          <w:szCs w:val="22"/>
          <w:lang w:val="fr"/>
        </w:rPr>
      </w:pPr>
      <w:r>
        <w:rPr>
          <w:rFonts w:ascii="Times New Roman" w:hAnsi="Times New Roman"/>
          <w:sz w:val="22"/>
          <w:szCs w:val="22"/>
        </w:rPr>
        <w:t xml:space="preserve">Pour la réception provisoire, il y a lieu d’utiliser le certificat de l’annexe C11. </w:t>
      </w:r>
      <w:r w:rsidR="00E22C44" w:rsidRPr="00E22C44">
        <w:rPr>
          <w:rFonts w:ascii="Times New Roman" w:hAnsi="Times New Roman"/>
          <w:sz w:val="22"/>
          <w:szCs w:val="22"/>
          <w:lang w:val="fr"/>
        </w:rPr>
        <w:t>La commission de réception provisoire est composée :</w:t>
      </w:r>
    </w:p>
    <w:p w14:paraId="2A76D7A6" w14:textId="3EFB95DE" w:rsidR="00723F21" w:rsidRDefault="00E22C44" w:rsidP="00723F21">
      <w:pPr>
        <w:numPr>
          <w:ilvl w:val="0"/>
          <w:numId w:val="25"/>
        </w:numPr>
        <w:jc w:val="both"/>
        <w:rPr>
          <w:rFonts w:ascii="Times New Roman" w:hAnsi="Times New Roman"/>
          <w:sz w:val="22"/>
          <w:szCs w:val="22"/>
          <w:lang w:val="fr"/>
        </w:rPr>
      </w:pPr>
      <w:r w:rsidRPr="00E22C44">
        <w:rPr>
          <w:rFonts w:ascii="Times New Roman" w:hAnsi="Times New Roman"/>
          <w:sz w:val="22"/>
          <w:szCs w:val="22"/>
          <w:lang w:val="fr"/>
        </w:rPr>
        <w:t>0</w:t>
      </w:r>
      <w:r w:rsidR="00435372">
        <w:rPr>
          <w:rFonts w:ascii="Times New Roman" w:hAnsi="Times New Roman"/>
          <w:sz w:val="22"/>
          <w:szCs w:val="22"/>
          <w:lang w:val="fr"/>
        </w:rPr>
        <w:t>1</w:t>
      </w:r>
      <w:r w:rsidRPr="00E22C44">
        <w:rPr>
          <w:rFonts w:ascii="Times New Roman" w:hAnsi="Times New Roman"/>
          <w:sz w:val="22"/>
          <w:szCs w:val="22"/>
          <w:lang w:val="fr"/>
        </w:rPr>
        <w:t xml:space="preserve"> représentant de la Régie PMSAN</w:t>
      </w:r>
      <w:r w:rsidR="00435372">
        <w:rPr>
          <w:rFonts w:ascii="Times New Roman" w:hAnsi="Times New Roman"/>
          <w:sz w:val="22"/>
          <w:szCs w:val="22"/>
          <w:lang w:val="fr"/>
        </w:rPr>
        <w:t>2</w:t>
      </w:r>
    </w:p>
    <w:p w14:paraId="38CCDEFD" w14:textId="7D39B8E3" w:rsidR="00723F21" w:rsidRPr="00173892" w:rsidRDefault="00E22C44" w:rsidP="00723F21">
      <w:pPr>
        <w:numPr>
          <w:ilvl w:val="0"/>
          <w:numId w:val="25"/>
        </w:numPr>
        <w:jc w:val="both"/>
        <w:rPr>
          <w:rFonts w:ascii="Times New Roman" w:hAnsi="Times New Roman"/>
          <w:sz w:val="22"/>
          <w:szCs w:val="22"/>
          <w:lang w:val="fr"/>
        </w:rPr>
      </w:pPr>
      <w:r w:rsidRPr="00723F21">
        <w:rPr>
          <w:rFonts w:ascii="Times New Roman" w:hAnsi="Times New Roman"/>
          <w:sz w:val="22"/>
          <w:szCs w:val="22"/>
          <w:lang w:val="fr"/>
        </w:rPr>
        <w:t>01 représentant de l’ON</w:t>
      </w:r>
      <w:r w:rsidRPr="00723F21">
        <w:rPr>
          <w:rFonts w:ascii="Times New Roman" w:hAnsi="Times New Roman"/>
          <w:sz w:val="22"/>
          <w:szCs w:val="22"/>
        </w:rPr>
        <w:t xml:space="preserve"> </w:t>
      </w:r>
    </w:p>
    <w:p w14:paraId="72205927" w14:textId="2AEAFE2E" w:rsidR="00173892" w:rsidRPr="00723F21" w:rsidRDefault="00173892" w:rsidP="00723F21">
      <w:pPr>
        <w:numPr>
          <w:ilvl w:val="0"/>
          <w:numId w:val="25"/>
        </w:numPr>
        <w:jc w:val="both"/>
        <w:rPr>
          <w:rFonts w:ascii="Times New Roman" w:hAnsi="Times New Roman"/>
          <w:sz w:val="22"/>
          <w:szCs w:val="22"/>
          <w:lang w:val="fr"/>
        </w:rPr>
      </w:pPr>
      <w:r>
        <w:rPr>
          <w:rFonts w:ascii="Times New Roman" w:hAnsi="Times New Roman"/>
          <w:sz w:val="22"/>
          <w:szCs w:val="22"/>
        </w:rPr>
        <w:t xml:space="preserve">01 représentant des ministères </w:t>
      </w:r>
    </w:p>
    <w:p w14:paraId="26936EB2" w14:textId="7B0D6CFF" w:rsidR="00724C93" w:rsidRPr="003D6B6C" w:rsidRDefault="00724C93" w:rsidP="00724C93">
      <w:pPr>
        <w:autoSpaceDE w:val="0"/>
        <w:autoSpaceDN w:val="0"/>
        <w:adjustRightInd w:val="0"/>
        <w:spacing w:before="0" w:after="0"/>
        <w:rPr>
          <w:rFonts w:ascii="Times New Roman" w:hAnsi="Times New Roman"/>
          <w:sz w:val="22"/>
          <w:szCs w:val="22"/>
        </w:rPr>
      </w:pPr>
    </w:p>
    <w:p w14:paraId="0177D459" w14:textId="02209974" w:rsidR="00554164" w:rsidRPr="003D6B6C" w:rsidRDefault="0011156A" w:rsidP="00F31FBC">
      <w:pPr>
        <w:ind w:left="1134" w:hanging="708"/>
        <w:jc w:val="both"/>
        <w:rPr>
          <w:rFonts w:ascii="Times New Roman" w:hAnsi="Times New Roman"/>
          <w:sz w:val="22"/>
          <w:szCs w:val="22"/>
        </w:rPr>
      </w:pPr>
      <w:r>
        <w:rPr>
          <w:rFonts w:ascii="Times New Roman" w:hAnsi="Times New Roman"/>
          <w:sz w:val="22"/>
          <w:szCs w:val="22"/>
        </w:rPr>
        <w:t>31.2.</w:t>
      </w:r>
      <w:r>
        <w:rPr>
          <w:rFonts w:ascii="Times New Roman" w:hAnsi="Times New Roman"/>
          <w:sz w:val="22"/>
          <w:szCs w:val="22"/>
        </w:rPr>
        <w:tab/>
      </w:r>
      <w:r w:rsidR="007F5DDE">
        <w:rPr>
          <w:rFonts w:ascii="Times New Roman" w:hAnsi="Times New Roman"/>
          <w:sz w:val="22"/>
          <w:szCs w:val="22"/>
          <w:highlight w:val="lightGray"/>
        </w:rPr>
        <w:t>Par dérogation à l’article 31, paragraphe 2, deuxième alinéa, le délai de délivrance du certificat de réception provisoire par le pouvoir adjudicateur au contractant n’est pas réputé inclus dans le délai de paiement indiqué à l’article 26, paragraphe 3.</w:t>
      </w:r>
    </w:p>
    <w:p w14:paraId="6D19FB26" w14:textId="77777777" w:rsidR="0047783A" w:rsidRPr="003D6B6C" w:rsidRDefault="0047783A" w:rsidP="00B34179">
      <w:pPr>
        <w:spacing w:before="240"/>
        <w:ind w:left="1134" w:hanging="1134"/>
        <w:jc w:val="both"/>
        <w:rPr>
          <w:rFonts w:ascii="Times New Roman" w:hAnsi="Times New Roman"/>
          <w:b/>
          <w:sz w:val="24"/>
          <w:szCs w:val="24"/>
        </w:rPr>
      </w:pPr>
      <w:r>
        <w:rPr>
          <w:rFonts w:ascii="Times New Roman" w:hAnsi="Times New Roman"/>
          <w:b/>
          <w:sz w:val="24"/>
          <w:szCs w:val="24"/>
        </w:rPr>
        <w:t>Article 32</w:t>
      </w:r>
      <w:r>
        <w:rPr>
          <w:rFonts w:ascii="Times New Roman" w:hAnsi="Times New Roman"/>
          <w:b/>
          <w:sz w:val="24"/>
          <w:szCs w:val="24"/>
        </w:rPr>
        <w:tab/>
      </w:r>
      <w:bookmarkStart w:id="19" w:name="_Toc124934915"/>
      <w:r>
        <w:rPr>
          <w:rFonts w:ascii="Times New Roman" w:hAnsi="Times New Roman"/>
          <w:b/>
          <w:sz w:val="24"/>
          <w:szCs w:val="24"/>
        </w:rPr>
        <w:t>Obligations</w:t>
      </w:r>
      <w:bookmarkEnd w:id="19"/>
      <w:r>
        <w:rPr>
          <w:rFonts w:ascii="Times New Roman" w:hAnsi="Times New Roman"/>
          <w:b/>
          <w:sz w:val="24"/>
          <w:szCs w:val="24"/>
        </w:rPr>
        <w:t xml:space="preserve"> au titre de la garantie du produit</w:t>
      </w:r>
    </w:p>
    <w:p w14:paraId="18C4D014" w14:textId="73B5F880" w:rsidR="0047783A" w:rsidRPr="003D6B6C" w:rsidRDefault="00177A94" w:rsidP="006B145B">
      <w:pPr>
        <w:ind w:left="1134" w:hanging="708"/>
        <w:jc w:val="both"/>
        <w:rPr>
          <w:rFonts w:ascii="Times New Roman" w:hAnsi="Times New Roman"/>
          <w:sz w:val="22"/>
          <w:szCs w:val="22"/>
        </w:rPr>
      </w:pPr>
      <w:r>
        <w:rPr>
          <w:rFonts w:ascii="Times New Roman" w:hAnsi="Times New Roman"/>
          <w:sz w:val="22"/>
          <w:szCs w:val="22"/>
        </w:rPr>
        <w:t>32.6</w:t>
      </w:r>
      <w:r>
        <w:rPr>
          <w:rFonts w:ascii="Times New Roman" w:hAnsi="Times New Roman"/>
          <w:sz w:val="22"/>
          <w:szCs w:val="22"/>
        </w:rPr>
        <w:tab/>
      </w:r>
      <w:r w:rsidR="00860358" w:rsidRPr="00860358">
        <w:rPr>
          <w:rFonts w:ascii="Times New Roman" w:hAnsi="Times New Roman"/>
          <w:sz w:val="22"/>
          <w:szCs w:val="22"/>
          <w:lang w:val="fr"/>
        </w:rPr>
        <w:t xml:space="preserve">Le titulaire garantit que les fournitures sont neuves, encore inutilisées, du modèle le plus récent et qu'elles comprennent toutes les améliorations récentes quant à leur conception et leurs matériaux. Le titulaire garantit en outre que toutes les fournitures sont exemptes de vices résultant de leur conception, des matériaux utilisés ou de leur ouvraison. </w:t>
      </w:r>
      <w:proofErr w:type="gramStart"/>
      <w:r w:rsidR="00860358" w:rsidRPr="00860358">
        <w:rPr>
          <w:rFonts w:ascii="Times New Roman" w:hAnsi="Times New Roman"/>
          <w:sz w:val="22"/>
          <w:szCs w:val="22"/>
          <w:lang w:val="fr"/>
        </w:rPr>
        <w:t>Cette garantie constructeur</w:t>
      </w:r>
      <w:proofErr w:type="gramEnd"/>
      <w:r w:rsidR="00860358" w:rsidRPr="00860358">
        <w:rPr>
          <w:rFonts w:ascii="Times New Roman" w:hAnsi="Times New Roman"/>
          <w:sz w:val="22"/>
          <w:szCs w:val="22"/>
          <w:lang w:val="fr"/>
        </w:rPr>
        <w:t xml:space="preserve"> demeure valable pendant </w:t>
      </w:r>
      <w:r w:rsidR="00860358" w:rsidRPr="00860358">
        <w:rPr>
          <w:rFonts w:ascii="Times New Roman" w:hAnsi="Times New Roman"/>
          <w:b/>
          <w:bCs/>
          <w:sz w:val="22"/>
          <w:szCs w:val="22"/>
          <w:lang w:val="fr"/>
        </w:rPr>
        <w:t xml:space="preserve">un an </w:t>
      </w:r>
      <w:r w:rsidR="00860358" w:rsidRPr="00860358">
        <w:rPr>
          <w:rFonts w:ascii="Times New Roman" w:hAnsi="Times New Roman"/>
          <w:sz w:val="22"/>
          <w:szCs w:val="22"/>
          <w:lang w:val="fr"/>
        </w:rPr>
        <w:t>à compter de la réception provisoire</w:t>
      </w:r>
    </w:p>
    <w:p w14:paraId="516F443D" w14:textId="453B3DA1" w:rsidR="00DF7EE0" w:rsidRPr="003D6B6C" w:rsidRDefault="00DF7EE0" w:rsidP="006B145B">
      <w:pPr>
        <w:ind w:left="1134" w:hanging="708"/>
        <w:jc w:val="both"/>
        <w:rPr>
          <w:rFonts w:ascii="Times New Roman" w:hAnsi="Times New Roman"/>
          <w:sz w:val="22"/>
          <w:szCs w:val="22"/>
        </w:rPr>
      </w:pPr>
      <w:r>
        <w:rPr>
          <w:rFonts w:ascii="Times New Roman" w:hAnsi="Times New Roman"/>
          <w:sz w:val="22"/>
          <w:szCs w:val="22"/>
        </w:rPr>
        <w:t>32.7</w:t>
      </w:r>
      <w:r>
        <w:rPr>
          <w:rFonts w:ascii="Times New Roman" w:hAnsi="Times New Roman"/>
          <w:sz w:val="22"/>
          <w:szCs w:val="22"/>
        </w:rPr>
        <w:tab/>
      </w:r>
      <w:r w:rsidR="0077784C" w:rsidRPr="0077784C">
        <w:rPr>
          <w:rFonts w:ascii="Times New Roman" w:hAnsi="Times New Roman"/>
          <w:sz w:val="22"/>
          <w:szCs w:val="22"/>
          <w:lang w:val="fr"/>
        </w:rPr>
        <w:t>Cette garantie demeure valable pendant 36 mois ou 100,000 km à compter de la réception provisoire</w:t>
      </w:r>
      <w:r w:rsidR="0077784C" w:rsidRPr="0077784C">
        <w:rPr>
          <w:rFonts w:ascii="Times New Roman" w:hAnsi="Times New Roman"/>
          <w:sz w:val="22"/>
          <w:szCs w:val="22"/>
        </w:rPr>
        <w:t xml:space="preserve"> </w:t>
      </w:r>
      <w:r>
        <w:rPr>
          <w:rFonts w:ascii="Times New Roman" w:hAnsi="Times New Roman"/>
          <w:sz w:val="22"/>
          <w:szCs w:val="22"/>
        </w:rPr>
        <w:t>Cette garantie demeure valable pendant.</w:t>
      </w:r>
    </w:p>
    <w:p w14:paraId="3499C21C" w14:textId="77777777" w:rsidR="0047783A" w:rsidRPr="003D6B6C" w:rsidRDefault="0047783A" w:rsidP="00B34179">
      <w:pPr>
        <w:spacing w:before="240"/>
        <w:ind w:left="1134" w:hanging="1134"/>
        <w:jc w:val="both"/>
        <w:rPr>
          <w:rFonts w:ascii="Times New Roman" w:hAnsi="Times New Roman"/>
          <w:b/>
          <w:sz w:val="24"/>
          <w:szCs w:val="24"/>
        </w:rPr>
      </w:pPr>
      <w:bookmarkStart w:id="20" w:name="_Toc119839451"/>
      <w:bookmarkStart w:id="21" w:name="_Toc124934916"/>
      <w:r>
        <w:rPr>
          <w:rFonts w:ascii="Times New Roman" w:hAnsi="Times New Roman"/>
          <w:b/>
          <w:sz w:val="24"/>
          <w:szCs w:val="24"/>
        </w:rPr>
        <w:t>Article 33</w:t>
      </w:r>
      <w:r>
        <w:rPr>
          <w:rFonts w:ascii="Times New Roman" w:hAnsi="Times New Roman"/>
          <w:b/>
          <w:sz w:val="24"/>
          <w:szCs w:val="24"/>
        </w:rPr>
        <w:tab/>
        <w:t>Service après-vente</w:t>
      </w:r>
      <w:bookmarkEnd w:id="20"/>
      <w:bookmarkEnd w:id="21"/>
    </w:p>
    <w:p w14:paraId="4F6FBA6E" w14:textId="77777777" w:rsidR="005F4611" w:rsidRPr="005F4611" w:rsidRDefault="00177A94" w:rsidP="005F4611">
      <w:pPr>
        <w:ind w:left="1134" w:hanging="708"/>
        <w:jc w:val="both"/>
        <w:rPr>
          <w:rFonts w:ascii="Times New Roman" w:hAnsi="Times New Roman"/>
          <w:sz w:val="22"/>
          <w:szCs w:val="22"/>
          <w:lang w:val="fr"/>
        </w:rPr>
      </w:pPr>
      <w:r>
        <w:rPr>
          <w:rFonts w:ascii="Times New Roman" w:hAnsi="Times New Roman"/>
          <w:sz w:val="22"/>
          <w:szCs w:val="22"/>
        </w:rPr>
        <w:t>33.1</w:t>
      </w:r>
      <w:r>
        <w:rPr>
          <w:rFonts w:ascii="Times New Roman" w:hAnsi="Times New Roman"/>
          <w:sz w:val="22"/>
          <w:szCs w:val="22"/>
        </w:rPr>
        <w:tab/>
      </w:r>
      <w:r w:rsidR="005F4611" w:rsidRPr="005F4611">
        <w:rPr>
          <w:rFonts w:ascii="Times New Roman" w:hAnsi="Times New Roman"/>
          <w:sz w:val="22"/>
          <w:szCs w:val="22"/>
          <w:lang w:val="fr"/>
        </w:rPr>
        <w:t xml:space="preserve">Au titre du service après-vente le titulaire s’engage à fournir conformément à son offre, un service après-vente permanent pour les 60,000 premiers km des véhicules après la réception provisoire. </w:t>
      </w:r>
    </w:p>
    <w:p w14:paraId="0C4FE149" w14:textId="77777777" w:rsidR="005F4611" w:rsidRPr="005F4611" w:rsidRDefault="005F4611" w:rsidP="000E2A2D">
      <w:pPr>
        <w:ind w:left="1134"/>
        <w:jc w:val="both"/>
        <w:rPr>
          <w:rFonts w:ascii="Times New Roman" w:hAnsi="Times New Roman"/>
          <w:sz w:val="22"/>
          <w:szCs w:val="22"/>
          <w:lang w:val="fr"/>
        </w:rPr>
      </w:pPr>
      <w:r w:rsidRPr="005F4611">
        <w:rPr>
          <w:rFonts w:ascii="Times New Roman" w:hAnsi="Times New Roman"/>
          <w:sz w:val="22"/>
          <w:szCs w:val="22"/>
          <w:lang w:val="fr"/>
        </w:rPr>
        <w:t xml:space="preserve">La garantie d’un tel service après-vente doit permettre des interventions efficaces du titulaire dans un délai maximum de 3 jours à partir de la sollicitation par le pouvoir adjudicateur. </w:t>
      </w:r>
    </w:p>
    <w:p w14:paraId="09B87FDF" w14:textId="12555888" w:rsidR="0047783A" w:rsidRPr="003D6B6C" w:rsidRDefault="005F4611" w:rsidP="000E2A2D">
      <w:pPr>
        <w:ind w:left="1134"/>
        <w:jc w:val="both"/>
        <w:rPr>
          <w:rFonts w:ascii="Times New Roman" w:hAnsi="Times New Roman"/>
          <w:sz w:val="22"/>
          <w:szCs w:val="22"/>
        </w:rPr>
      </w:pPr>
      <w:r w:rsidRPr="005F4611">
        <w:rPr>
          <w:rFonts w:ascii="Times New Roman" w:hAnsi="Times New Roman"/>
          <w:sz w:val="22"/>
          <w:szCs w:val="22"/>
          <w:lang w:val="fr"/>
        </w:rPr>
        <w:t>Le titulaire s'assurera de la disponibilité des pièces de rechange durant toute la durée d'utilisation des véhicules</w:t>
      </w:r>
    </w:p>
    <w:p w14:paraId="060E3D5F" w14:textId="77777777" w:rsidR="0047783A" w:rsidRPr="003D6B6C" w:rsidRDefault="0047783A" w:rsidP="00B34179">
      <w:pPr>
        <w:spacing w:before="240"/>
        <w:ind w:left="1134" w:hanging="1134"/>
        <w:jc w:val="both"/>
        <w:rPr>
          <w:rFonts w:ascii="Times New Roman" w:hAnsi="Times New Roman"/>
          <w:b/>
          <w:sz w:val="24"/>
          <w:szCs w:val="24"/>
        </w:rPr>
      </w:pPr>
      <w:bookmarkStart w:id="22" w:name="_Toc124934917"/>
      <w:r>
        <w:rPr>
          <w:rFonts w:ascii="Times New Roman" w:hAnsi="Times New Roman"/>
          <w:b/>
          <w:sz w:val="24"/>
          <w:szCs w:val="24"/>
        </w:rPr>
        <w:t>Article 40</w:t>
      </w:r>
      <w:r>
        <w:rPr>
          <w:rFonts w:ascii="Times New Roman" w:hAnsi="Times New Roman"/>
          <w:b/>
          <w:sz w:val="24"/>
          <w:szCs w:val="24"/>
        </w:rPr>
        <w:tab/>
        <w:t>Règlement des différends</w:t>
      </w:r>
      <w:bookmarkEnd w:id="22"/>
    </w:p>
    <w:p w14:paraId="47FAC85B" w14:textId="51D203D5" w:rsidR="0047783A" w:rsidRPr="00B41C40" w:rsidRDefault="0047783A" w:rsidP="00063A4B">
      <w:pPr>
        <w:ind w:left="1134" w:hanging="708"/>
        <w:jc w:val="both"/>
        <w:rPr>
          <w:rFonts w:ascii="Times New Roman" w:hAnsi="Times New Roman"/>
          <w:sz w:val="22"/>
          <w:szCs w:val="22"/>
        </w:rPr>
      </w:pPr>
      <w:r w:rsidRPr="00B41C40">
        <w:rPr>
          <w:rFonts w:ascii="Times New Roman" w:hAnsi="Times New Roman"/>
          <w:sz w:val="22"/>
          <w:szCs w:val="22"/>
        </w:rPr>
        <w:t>40.4</w:t>
      </w:r>
      <w:r w:rsidRPr="00B41C40">
        <w:rPr>
          <w:rFonts w:ascii="Times New Roman" w:hAnsi="Times New Roman"/>
          <w:sz w:val="22"/>
          <w:szCs w:val="22"/>
        </w:rPr>
        <w:tab/>
        <w:t xml:space="preserve">Tout litige entre les parties résultant du marché ou ayant un lien avec le marché, qui ne peut être réglé </w:t>
      </w:r>
      <w:proofErr w:type="gramStart"/>
      <w:r w:rsidRPr="00B41C40">
        <w:rPr>
          <w:rFonts w:ascii="Times New Roman" w:hAnsi="Times New Roman"/>
          <w:sz w:val="22"/>
          <w:szCs w:val="22"/>
        </w:rPr>
        <w:t>autrement:</w:t>
      </w:r>
      <w:proofErr w:type="gramEnd"/>
    </w:p>
    <w:p w14:paraId="7AE533D8" w14:textId="77777777" w:rsidR="0047783A" w:rsidRPr="00B41C40" w:rsidRDefault="001B55AC" w:rsidP="001B55AC">
      <w:pPr>
        <w:ind w:left="1560" w:hanging="426"/>
        <w:rPr>
          <w:rFonts w:ascii="Times New Roman" w:hAnsi="Times New Roman"/>
          <w:sz w:val="22"/>
          <w:szCs w:val="22"/>
        </w:rPr>
      </w:pPr>
      <w:r w:rsidRPr="00B41C40">
        <w:rPr>
          <w:rFonts w:ascii="Times New Roman" w:hAnsi="Times New Roman"/>
          <w:sz w:val="22"/>
          <w:szCs w:val="22"/>
        </w:rPr>
        <w:lastRenderedPageBreak/>
        <w:t>a)</w:t>
      </w:r>
      <w:r w:rsidRPr="00B41C40">
        <w:rPr>
          <w:rFonts w:ascii="Times New Roman" w:hAnsi="Times New Roman"/>
          <w:sz w:val="22"/>
          <w:szCs w:val="22"/>
        </w:rPr>
        <w:tab/>
        <w:t xml:space="preserve">en cas de marché national, sera réglé conformément à la législation nationale de l’État du pouvoir </w:t>
      </w:r>
      <w:proofErr w:type="gramStart"/>
      <w:r w:rsidRPr="00B41C40">
        <w:rPr>
          <w:rFonts w:ascii="Times New Roman" w:hAnsi="Times New Roman"/>
          <w:sz w:val="22"/>
          <w:szCs w:val="22"/>
        </w:rPr>
        <w:t>adjudicateur;</w:t>
      </w:r>
      <w:proofErr w:type="gramEnd"/>
      <w:r w:rsidRPr="00B41C40">
        <w:rPr>
          <w:rFonts w:ascii="Times New Roman" w:hAnsi="Times New Roman"/>
          <w:sz w:val="22"/>
          <w:szCs w:val="22"/>
        </w:rPr>
        <w:t xml:space="preserve"> et</w:t>
      </w:r>
    </w:p>
    <w:p w14:paraId="4602D377" w14:textId="77777777" w:rsidR="0047783A" w:rsidRPr="00B41C40" w:rsidRDefault="0047783A" w:rsidP="001B55AC">
      <w:pPr>
        <w:ind w:left="1560" w:hanging="426"/>
        <w:rPr>
          <w:rFonts w:ascii="Times New Roman" w:hAnsi="Times New Roman"/>
          <w:sz w:val="22"/>
          <w:szCs w:val="22"/>
        </w:rPr>
      </w:pPr>
      <w:r w:rsidRPr="00B41C40">
        <w:rPr>
          <w:rFonts w:ascii="Times New Roman" w:hAnsi="Times New Roman"/>
          <w:sz w:val="22"/>
          <w:szCs w:val="22"/>
        </w:rPr>
        <w:t>b)</w:t>
      </w:r>
      <w:r w:rsidRPr="00B41C40">
        <w:rPr>
          <w:rFonts w:ascii="Times New Roman" w:hAnsi="Times New Roman"/>
          <w:sz w:val="22"/>
          <w:szCs w:val="22"/>
        </w:rPr>
        <w:tab/>
        <w:t xml:space="preserve">en cas de marché transnational, sera réglé </w:t>
      </w:r>
      <w:proofErr w:type="gramStart"/>
      <w:r w:rsidRPr="00B41C40">
        <w:rPr>
          <w:rFonts w:ascii="Times New Roman" w:hAnsi="Times New Roman"/>
          <w:sz w:val="22"/>
          <w:szCs w:val="22"/>
        </w:rPr>
        <w:t>soit:</w:t>
      </w:r>
      <w:proofErr w:type="gramEnd"/>
    </w:p>
    <w:p w14:paraId="75774894" w14:textId="77777777" w:rsidR="0047783A" w:rsidRPr="00B41C40" w:rsidRDefault="0047783A" w:rsidP="001B55AC">
      <w:pPr>
        <w:tabs>
          <w:tab w:val="left" w:pos="2835"/>
        </w:tabs>
        <w:ind w:left="1985" w:hanging="425"/>
        <w:rPr>
          <w:rFonts w:ascii="Times New Roman" w:hAnsi="Times New Roman"/>
          <w:sz w:val="22"/>
          <w:szCs w:val="22"/>
        </w:rPr>
      </w:pPr>
      <w:r w:rsidRPr="00B41C40">
        <w:rPr>
          <w:rFonts w:ascii="Times New Roman" w:hAnsi="Times New Roman"/>
          <w:sz w:val="22"/>
          <w:szCs w:val="22"/>
        </w:rPr>
        <w:t>i)</w:t>
      </w:r>
      <w:r w:rsidRPr="00B41C40">
        <w:rPr>
          <w:rFonts w:ascii="Times New Roman" w:hAnsi="Times New Roman"/>
          <w:sz w:val="22"/>
          <w:szCs w:val="22"/>
        </w:rPr>
        <w:tab/>
        <w:t xml:space="preserve">si les parties contractantes sont d’accord à cet égard, conformément à la législation nationale de l’État du pouvoir adjudicateur ou de ses pratiques internationales </w:t>
      </w:r>
      <w:proofErr w:type="gramStart"/>
      <w:r w:rsidRPr="00B41C40">
        <w:rPr>
          <w:rFonts w:ascii="Times New Roman" w:hAnsi="Times New Roman"/>
          <w:sz w:val="22"/>
          <w:szCs w:val="22"/>
        </w:rPr>
        <w:t>établies;</w:t>
      </w:r>
      <w:proofErr w:type="gramEnd"/>
      <w:r w:rsidRPr="00B41C40">
        <w:rPr>
          <w:rFonts w:ascii="Times New Roman" w:hAnsi="Times New Roman"/>
          <w:sz w:val="22"/>
          <w:szCs w:val="22"/>
        </w:rPr>
        <w:t xml:space="preserve"> </w:t>
      </w:r>
      <w:proofErr w:type="gramStart"/>
      <w:r w:rsidRPr="00B41C40">
        <w:rPr>
          <w:rFonts w:ascii="Times New Roman" w:hAnsi="Times New Roman"/>
          <w:sz w:val="22"/>
          <w:szCs w:val="22"/>
        </w:rPr>
        <w:t>ou</w:t>
      </w:r>
      <w:proofErr w:type="gramEnd"/>
    </w:p>
    <w:p w14:paraId="7C28597C" w14:textId="3EFBCD60" w:rsidR="0038357E" w:rsidRPr="003D6B6C" w:rsidRDefault="0047783A" w:rsidP="0038357E">
      <w:pPr>
        <w:autoSpaceDE w:val="0"/>
        <w:autoSpaceDN w:val="0"/>
        <w:adjustRightInd w:val="0"/>
        <w:ind w:left="1985" w:hanging="425"/>
        <w:jc w:val="both"/>
        <w:rPr>
          <w:rFonts w:ascii="Times New Roman" w:hAnsi="Times New Roman"/>
          <w:sz w:val="22"/>
          <w:szCs w:val="22"/>
        </w:rPr>
      </w:pPr>
      <w:r w:rsidRPr="00B41C40">
        <w:rPr>
          <w:rFonts w:ascii="Times New Roman" w:hAnsi="Times New Roman"/>
          <w:sz w:val="22"/>
          <w:szCs w:val="22"/>
        </w:rPr>
        <w:t>ii)</w:t>
      </w:r>
      <w:r w:rsidRPr="00B41C40">
        <w:rPr>
          <w:rFonts w:ascii="Times New Roman" w:hAnsi="Times New Roman"/>
          <w:sz w:val="22"/>
          <w:szCs w:val="22"/>
        </w:rPr>
        <w:tab/>
        <w:t xml:space="preserve">par arbitrage conformément au règlement de procédure de conciliation et d’arbitrage pour les marchés financés par le Fonds européen de développement, adopté par la décision nº 3/90 du Conseil des ministres ACP-CE du 29 mars 1990 (JO L 382 du 31.12.1990. Voir annexe a12 du Guide pratique) </w:t>
      </w:r>
    </w:p>
    <w:p w14:paraId="32FDF6D7" w14:textId="77777777" w:rsidR="00407C90" w:rsidRPr="003D6B6C" w:rsidRDefault="00407C90" w:rsidP="00407C90">
      <w:pPr>
        <w:ind w:left="567" w:hanging="567"/>
        <w:rPr>
          <w:rFonts w:ascii="Times New Roman" w:hAnsi="Times New Roman"/>
          <w:sz w:val="22"/>
          <w:szCs w:val="22"/>
          <w:highlight w:val="yellow"/>
        </w:rPr>
      </w:pPr>
    </w:p>
    <w:p w14:paraId="53F35545" w14:textId="77777777" w:rsidR="00407C90" w:rsidRPr="00977F1F" w:rsidRDefault="00407C90" w:rsidP="00407C90">
      <w:pPr>
        <w:keepNext/>
        <w:keepLines/>
        <w:tabs>
          <w:tab w:val="left" w:pos="1134"/>
        </w:tabs>
        <w:spacing w:before="240"/>
        <w:ind w:left="1134" w:hanging="1134"/>
        <w:rPr>
          <w:rFonts w:ascii="Times New Roman" w:hAnsi="Times New Roman"/>
          <w:b/>
          <w:sz w:val="24"/>
          <w:szCs w:val="24"/>
        </w:rPr>
      </w:pPr>
      <w:r w:rsidRPr="00977F1F">
        <w:rPr>
          <w:rFonts w:ascii="Times New Roman" w:hAnsi="Times New Roman"/>
          <w:b/>
          <w:sz w:val="24"/>
          <w:szCs w:val="24"/>
        </w:rPr>
        <w:t>Article 44</w:t>
      </w:r>
      <w:r w:rsidRPr="00977F1F">
        <w:rPr>
          <w:rFonts w:ascii="Times New Roman" w:hAnsi="Times New Roman"/>
          <w:b/>
          <w:sz w:val="24"/>
          <w:szCs w:val="24"/>
        </w:rPr>
        <w:tab/>
        <w:t>Protection des données</w:t>
      </w:r>
    </w:p>
    <w:p w14:paraId="5F3FDACE" w14:textId="77777777" w:rsidR="009F7E6A" w:rsidRPr="00977F1F" w:rsidRDefault="009F7E6A" w:rsidP="009F7E6A">
      <w:pPr>
        <w:jc w:val="both"/>
        <w:rPr>
          <w:rFonts w:ascii="Times New Roman" w:hAnsi="Times New Roman"/>
          <w:sz w:val="22"/>
          <w:szCs w:val="22"/>
        </w:rPr>
      </w:pPr>
      <w:r w:rsidRPr="00977F1F">
        <w:rPr>
          <w:rFonts w:ascii="Times New Roman" w:hAnsi="Times New Roman"/>
          <w:sz w:val="22"/>
          <w:szCs w:val="22"/>
        </w:rPr>
        <w:t>[1. Le traitement des données à caractère personnel liées à l’exécution du marché par le pouvoir adjudicateur se déroule conformément à la législation nationale de l’État du pouvoir adjudicateur et aux dispositions de la convention de financement correspondante.</w:t>
      </w:r>
    </w:p>
    <w:p w14:paraId="2FB9F325" w14:textId="40321E5F" w:rsidR="009F7E6A" w:rsidRPr="00F4288C" w:rsidRDefault="009F7E6A" w:rsidP="009F7E6A">
      <w:pPr>
        <w:jc w:val="both"/>
        <w:rPr>
          <w:rFonts w:ascii="Times New Roman" w:hAnsi="Times New Roman"/>
          <w:sz w:val="22"/>
          <w:szCs w:val="22"/>
          <w:u w:val="single"/>
        </w:rPr>
      </w:pPr>
      <w:r w:rsidRPr="00977F1F">
        <w:rPr>
          <w:rFonts w:ascii="Times New Roman" w:hAnsi="Times New Roman"/>
          <w:sz w:val="22"/>
          <w:szCs w:val="22"/>
        </w:rPr>
        <w:t>2. Dans la mesure où le marché couvre une action financée par l’Union européenne, le pouvoir adjudicateur peut partager avec la Commission européenne les communications relatives à l’exécution du marché. Ces échanges sont faits à la Commission, uniquement dans le but de permettre à cette dernière d’exercer ses droits et obligations en vertu du cadre législatif applicable et de la convention de financement avec le pays partenaire - le pouvoir adjudicateur. Les échanges peuvent impliquer des transferts de données à caractère personnel (telles que les noms, les coordonnées, les signatures et les CV) de personnes physiques participant à l’exécution du marché (telles que les contractants, le personnel, les experts, les stagiaires, les sous-traitants, les assureurs, les garants, les auditeurs et les conseillers juridiques). Dans les cas où le contractant traite des données à caractère personnel dans le cadre de l’exécution du marché, il informe en conséquence les personnes concernées de la transmission éventuelle de leurs données à la Commission. Toute donnée à caractère personnel transmise à la Commission sera traitée par cette dernière conformément aux dispositions du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w:t>
      </w:r>
      <w:r w:rsidRPr="00977F1F">
        <w:rPr>
          <w:rStyle w:val="FootnoteReference"/>
          <w:rFonts w:ascii="Times New Roman" w:hAnsi="Times New Roman"/>
          <w:sz w:val="22"/>
          <w:szCs w:val="22"/>
        </w:rPr>
        <w:footnoteReference w:id="3"/>
      </w:r>
      <w:r w:rsidRPr="00977F1F">
        <w:rPr>
          <w:rFonts w:ascii="Times New Roman" w:hAnsi="Times New Roman"/>
          <w:sz w:val="22"/>
          <w:szCs w:val="22"/>
        </w:rPr>
        <w:t xml:space="preserve">, et comme détaillé dans la déclaration relative à la protection de la vie privée disponible dans </w:t>
      </w:r>
      <w:proofErr w:type="spellStart"/>
      <w:r w:rsidRPr="00977F1F">
        <w:rPr>
          <w:rFonts w:ascii="Times New Roman" w:hAnsi="Times New Roman"/>
          <w:sz w:val="22"/>
          <w:szCs w:val="22"/>
        </w:rPr>
        <w:t>ePRAG</w:t>
      </w:r>
      <w:proofErr w:type="spellEnd"/>
      <w:r w:rsidRPr="00977F1F">
        <w:rPr>
          <w:rFonts w:ascii="Times New Roman" w:hAnsi="Times New Roman"/>
          <w:sz w:val="22"/>
          <w:szCs w:val="22"/>
        </w:rPr>
        <w:t>.]</w:t>
      </w:r>
    </w:p>
    <w:p w14:paraId="0BB191E9" w14:textId="77777777" w:rsidR="00B605B6" w:rsidRPr="0031642B" w:rsidRDefault="009F7E6A" w:rsidP="00872DA7">
      <w:pPr>
        <w:pStyle w:val="ListNumber"/>
        <w:numPr>
          <w:ilvl w:val="0"/>
          <w:numId w:val="0"/>
        </w:numPr>
        <w:spacing w:before="240"/>
        <w:ind w:left="1134" w:hanging="1134"/>
        <w:rPr>
          <w:b/>
          <w:szCs w:val="24"/>
        </w:rPr>
      </w:pPr>
      <w:r w:rsidRPr="0031642B">
        <w:rPr>
          <w:sz w:val="22"/>
          <w:szCs w:val="22"/>
        </w:rPr>
        <w:t xml:space="preserve"> </w:t>
      </w:r>
      <w:r w:rsidRPr="0031642B">
        <w:rPr>
          <w:b/>
          <w:szCs w:val="24"/>
        </w:rPr>
        <w:t>Article 45</w:t>
      </w:r>
      <w:r w:rsidRPr="0031642B">
        <w:rPr>
          <w:b/>
          <w:szCs w:val="24"/>
        </w:rPr>
        <w:tab/>
        <w:t>Autres clauses supplémentaires</w:t>
      </w:r>
    </w:p>
    <w:p w14:paraId="3637455A" w14:textId="744DC324" w:rsidR="00B605B6" w:rsidRDefault="000C3073" w:rsidP="0011156A">
      <w:pPr>
        <w:pStyle w:val="ListNumber"/>
        <w:numPr>
          <w:ilvl w:val="0"/>
          <w:numId w:val="0"/>
        </w:numPr>
        <w:rPr>
          <w:sz w:val="22"/>
          <w:szCs w:val="22"/>
        </w:rPr>
      </w:pPr>
      <w:proofErr w:type="gramStart"/>
      <w:r w:rsidRPr="0031642B">
        <w:rPr>
          <w:sz w:val="22"/>
          <w:szCs w:val="22"/>
        </w:rPr>
        <w:t>n</w:t>
      </w:r>
      <w:proofErr w:type="gramEnd"/>
      <w:r w:rsidRPr="0031642B">
        <w:rPr>
          <w:sz w:val="22"/>
          <w:szCs w:val="22"/>
        </w:rPr>
        <w:t xml:space="preserve">/a </w:t>
      </w:r>
    </w:p>
    <w:p w14:paraId="016C5FE5" w14:textId="77777777" w:rsidR="001B55AC" w:rsidRPr="003D6B6C" w:rsidRDefault="001B55AC" w:rsidP="001B55AC">
      <w:pPr>
        <w:pStyle w:val="ListNumber"/>
        <w:numPr>
          <w:ilvl w:val="0"/>
          <w:numId w:val="0"/>
        </w:numPr>
        <w:spacing w:before="360" w:after="100" w:afterAutospacing="1"/>
        <w:ind w:left="1984" w:hanging="425"/>
        <w:jc w:val="center"/>
        <w:rPr>
          <w:sz w:val="22"/>
          <w:szCs w:val="22"/>
        </w:rPr>
      </w:pPr>
      <w:r>
        <w:rPr>
          <w:sz w:val="22"/>
          <w:szCs w:val="22"/>
        </w:rPr>
        <w:t>* * *</w:t>
      </w:r>
    </w:p>
    <w:sectPr w:rsidR="001B55AC" w:rsidRPr="003D6B6C" w:rsidSect="008C66DC">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code="1"/>
      <w:pgMar w:top="1134" w:right="1418" w:bottom="993" w:left="1701" w:header="720" w:footer="313"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5090" w14:textId="77777777" w:rsidR="006C7E92" w:rsidRPr="006A5F84" w:rsidRDefault="006C7E92">
      <w:r w:rsidRPr="006A5F84">
        <w:separator/>
      </w:r>
    </w:p>
  </w:endnote>
  <w:endnote w:type="continuationSeparator" w:id="0">
    <w:p w14:paraId="005A1AE5" w14:textId="77777777" w:rsidR="006C7E92" w:rsidRPr="006A5F84" w:rsidRDefault="006C7E92">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F24C" w14:textId="77777777" w:rsidR="00117ADA" w:rsidRDefault="00117ADA"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43E34293" w14:textId="77777777" w:rsidR="00117ADA" w:rsidRDefault="00117ADA"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995" w14:textId="66572F18" w:rsidR="007E36E3" w:rsidRPr="00FE689C" w:rsidRDefault="00CA1E77" w:rsidP="007E36E3">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2021</w:t>
    </w:r>
    <w:r w:rsidR="00283061">
      <w:rPr>
        <w:rFonts w:ascii="Times New Roman" w:hAnsi="Times New Roman"/>
        <w:b/>
        <w:sz w:val="18"/>
      </w:rPr>
      <w:t>.1</w:t>
    </w:r>
    <w:r>
      <w:rPr>
        <w:rFonts w:ascii="Times New Roman" w:hAnsi="Times New Roman"/>
        <w:sz w:val="18"/>
        <w:szCs w:val="18"/>
      </w:rPr>
      <w:tab/>
    </w:r>
    <w:r>
      <w:rPr>
        <w:rStyle w:val="PageNumber"/>
        <w:rFonts w:ascii="Times New Roman" w:hAnsi="Times New Roman"/>
        <w:sz w:val="18"/>
        <w:szCs w:val="18"/>
      </w:rPr>
      <w:t>Page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rPr>
      <w:instrText xml:space="preserve"> PAGE </w:instrText>
    </w:r>
    <w:r w:rsidR="007E36E3" w:rsidRPr="009423FB">
      <w:rPr>
        <w:rStyle w:val="PageNumber"/>
        <w:rFonts w:ascii="Times New Roman" w:hAnsi="Times New Roman"/>
        <w:sz w:val="18"/>
        <w:szCs w:val="18"/>
      </w:rPr>
      <w:fldChar w:fldCharType="separate"/>
    </w:r>
    <w:r w:rsidR="00D76E8A">
      <w:rPr>
        <w:rStyle w:val="PageNumber"/>
        <w:rFonts w:ascii="Times New Roman" w:hAnsi="Times New Roman"/>
        <w:noProof/>
        <w:sz w:val="18"/>
        <w:szCs w:val="18"/>
      </w:rPr>
      <w:t>1</w:t>
    </w:r>
    <w:r w:rsidR="007E36E3" w:rsidRPr="009423FB">
      <w:rPr>
        <w:rStyle w:val="PageNumber"/>
        <w:rFonts w:ascii="Times New Roman" w:hAnsi="Times New Roman"/>
        <w:sz w:val="18"/>
        <w:szCs w:val="18"/>
      </w:rPr>
      <w:fldChar w:fldCharType="end"/>
    </w:r>
    <w:r>
      <w:rPr>
        <w:rStyle w:val="PageNumber"/>
        <w:rFonts w:ascii="Times New Roman" w:hAnsi="Times New Roman"/>
        <w:sz w:val="18"/>
        <w:szCs w:val="18"/>
      </w:rPr>
      <w:t xml:space="preserve"> sur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rPr>
      <w:instrText xml:space="preserve"> NUMPAGES </w:instrText>
    </w:r>
    <w:r w:rsidR="007E36E3" w:rsidRPr="009423FB">
      <w:rPr>
        <w:rStyle w:val="PageNumber"/>
        <w:rFonts w:ascii="Times New Roman" w:hAnsi="Times New Roman"/>
        <w:sz w:val="18"/>
        <w:szCs w:val="18"/>
      </w:rPr>
      <w:fldChar w:fldCharType="separate"/>
    </w:r>
    <w:r w:rsidR="00D76E8A">
      <w:rPr>
        <w:rStyle w:val="PageNumber"/>
        <w:rFonts w:ascii="Times New Roman" w:hAnsi="Times New Roman"/>
        <w:noProof/>
        <w:sz w:val="18"/>
        <w:szCs w:val="18"/>
      </w:rPr>
      <w:t>6</w:t>
    </w:r>
    <w:r w:rsidR="007E36E3" w:rsidRPr="009423FB">
      <w:rPr>
        <w:rStyle w:val="PageNumber"/>
        <w:rFonts w:ascii="Times New Roman" w:hAnsi="Times New Roman"/>
        <w:sz w:val="18"/>
        <w:szCs w:val="18"/>
      </w:rPr>
      <w:fldChar w:fldCharType="end"/>
    </w:r>
  </w:p>
  <w:p w14:paraId="32214240" w14:textId="2EB54DE2" w:rsidR="00117ADA" w:rsidRPr="007E36E3" w:rsidRDefault="007E36E3" w:rsidP="007E36E3">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8C66DC">
      <w:rPr>
        <w:rFonts w:ascii="Times New Roman" w:hAnsi="Times New Roman"/>
        <w:noProof/>
        <w:sz w:val="18"/>
        <w:szCs w:val="18"/>
      </w:rPr>
      <w:t>Conditions particulières</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36AF" w14:textId="77777777" w:rsidR="00117ADA" w:rsidRPr="006A5F84" w:rsidRDefault="00117ADA"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6181BD8D" w14:textId="77777777" w:rsidR="00117ADA" w:rsidRPr="006A5F84" w:rsidRDefault="00117ADA" w:rsidP="0047783A">
    <w:pPr>
      <w:pStyle w:val="Footer"/>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953B" w14:textId="77777777" w:rsidR="006C7E92" w:rsidRPr="006A5F84" w:rsidRDefault="006C7E92">
      <w:r w:rsidRPr="006A5F84">
        <w:separator/>
      </w:r>
    </w:p>
  </w:footnote>
  <w:footnote w:type="continuationSeparator" w:id="0">
    <w:p w14:paraId="42595C23" w14:textId="77777777" w:rsidR="006C7E92" w:rsidRPr="006A5F84" w:rsidRDefault="006C7E92">
      <w:r w:rsidRPr="006A5F84">
        <w:continuationSeparator/>
      </w:r>
    </w:p>
  </w:footnote>
  <w:footnote w:id="1">
    <w:p w14:paraId="473FAD69" w14:textId="65B982EE" w:rsidR="00297C14" w:rsidRPr="00C73F87" w:rsidRDefault="00297C14" w:rsidP="001020D9">
      <w:pPr>
        <w:pStyle w:val="FootnoteText"/>
      </w:pPr>
      <w:r>
        <w:rPr>
          <w:rStyle w:val="FootnoteReference"/>
        </w:rPr>
        <w:footnoteRef/>
      </w:r>
      <w:r>
        <w:t xml:space="preserve"> Voir:</w:t>
      </w:r>
      <w:hyperlink r:id="rId1" w:history="1">
        <w:r>
          <w:rPr>
            <w:rStyle w:val="Hyperlink"/>
          </w:rPr>
          <w:t>http://www.iccwbo.org/incoterms/</w:t>
        </w:r>
      </w:hyperlink>
    </w:p>
  </w:footnote>
  <w:footnote w:id="2">
    <w:p w14:paraId="70EC6637" w14:textId="77777777" w:rsidR="00297C14" w:rsidRPr="009F7E6A" w:rsidRDefault="00297C14" w:rsidP="001020D9">
      <w:pPr>
        <w:pStyle w:val="FootnoteText"/>
      </w:pPr>
      <w:r>
        <w:rPr>
          <w:rStyle w:val="FootnoteReference"/>
        </w:rPr>
        <w:footnoteRef/>
      </w:r>
      <w:r>
        <w:t xml:space="preserve"> Idem.</w:t>
      </w:r>
    </w:p>
  </w:footnote>
  <w:footnote w:id="3">
    <w:p w14:paraId="613D5799" w14:textId="77777777" w:rsidR="009F7E6A" w:rsidRDefault="009F7E6A" w:rsidP="009F7E6A">
      <w:pPr>
        <w:pStyle w:val="FootnoteText"/>
      </w:pPr>
      <w:r>
        <w:rPr>
          <w:rStyle w:val="FootnoteReference"/>
        </w:rPr>
        <w:footnoteRef/>
      </w:r>
      <w:r>
        <w:t xml:space="preserve"> JO L 205 du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41A5" w14:textId="77777777" w:rsidR="00CA1E77" w:rsidRDefault="00CA1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FD3B" w14:textId="77777777" w:rsidR="00CA1E77" w:rsidRDefault="00CA1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ED22" w14:textId="77777777" w:rsidR="00CA1E77" w:rsidRDefault="00CA1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DA1D50"/>
    <w:multiLevelType w:val="multilevel"/>
    <w:tmpl w:val="606A3724"/>
    <w:lvl w:ilvl="0">
      <w:numFmt w:val="bullet"/>
      <w:pStyle w:val="PRAGHeading2"/>
      <w:lvlText w:val="-"/>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0"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3"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8027056">
    <w:abstractNumId w:val="11"/>
  </w:num>
  <w:num w:numId="2" w16cid:durableId="1419593638">
    <w:abstractNumId w:val="23"/>
  </w:num>
  <w:num w:numId="3" w16cid:durableId="923491685">
    <w:abstractNumId w:val="10"/>
  </w:num>
  <w:num w:numId="4" w16cid:durableId="1977879613">
    <w:abstractNumId w:val="13"/>
  </w:num>
  <w:num w:numId="5" w16cid:durableId="1065760936">
    <w:abstractNumId w:val="25"/>
  </w:num>
  <w:num w:numId="6" w16cid:durableId="1532910690">
    <w:abstractNumId w:val="8"/>
  </w:num>
  <w:num w:numId="7" w16cid:durableId="991253504">
    <w:abstractNumId w:val="5"/>
  </w:num>
  <w:num w:numId="8" w16cid:durableId="1008756689">
    <w:abstractNumId w:val="1"/>
  </w:num>
  <w:num w:numId="9" w16cid:durableId="2053261306">
    <w:abstractNumId w:val="14"/>
  </w:num>
  <w:num w:numId="10" w16cid:durableId="1812013435">
    <w:abstractNumId w:val="4"/>
  </w:num>
  <w:num w:numId="11" w16cid:durableId="917398475">
    <w:abstractNumId w:val="21"/>
  </w:num>
  <w:num w:numId="12" w16cid:durableId="899903881">
    <w:abstractNumId w:val="12"/>
  </w:num>
  <w:num w:numId="13" w16cid:durableId="260139159">
    <w:abstractNumId w:val="6"/>
  </w:num>
  <w:num w:numId="14" w16cid:durableId="1032917620">
    <w:abstractNumId w:val="18"/>
  </w:num>
  <w:num w:numId="15" w16cid:durableId="1463309094">
    <w:abstractNumId w:val="19"/>
  </w:num>
  <w:num w:numId="16" w16cid:durableId="2092654251">
    <w:abstractNumId w:val="7"/>
  </w:num>
  <w:num w:numId="17" w16cid:durableId="1980181432">
    <w:abstractNumId w:val="16"/>
  </w:num>
  <w:num w:numId="18" w16cid:durableId="1046680376">
    <w:abstractNumId w:val="9"/>
  </w:num>
  <w:num w:numId="19" w16cid:durableId="1584485354">
    <w:abstractNumId w:val="2"/>
  </w:num>
  <w:num w:numId="20" w16cid:durableId="666903825">
    <w:abstractNumId w:val="22"/>
  </w:num>
  <w:num w:numId="21" w16cid:durableId="292446683">
    <w:abstractNumId w:val="17"/>
  </w:num>
  <w:num w:numId="22" w16cid:durableId="290596753">
    <w:abstractNumId w:val="15"/>
  </w:num>
  <w:num w:numId="23" w16cid:durableId="1932394525">
    <w:abstractNumId w:val="0"/>
  </w:num>
  <w:num w:numId="24" w16cid:durableId="859926389">
    <w:abstractNumId w:val="20"/>
  </w:num>
  <w:num w:numId="25" w16cid:durableId="5682275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07E4"/>
    <w:rsid w:val="000021E1"/>
    <w:rsid w:val="0000334D"/>
    <w:rsid w:val="00007C5B"/>
    <w:rsid w:val="00024A8F"/>
    <w:rsid w:val="00026B04"/>
    <w:rsid w:val="00035AE5"/>
    <w:rsid w:val="00035D61"/>
    <w:rsid w:val="00040153"/>
    <w:rsid w:val="00040BA6"/>
    <w:rsid w:val="00040CF1"/>
    <w:rsid w:val="00041516"/>
    <w:rsid w:val="000417E2"/>
    <w:rsid w:val="00042EEB"/>
    <w:rsid w:val="00043159"/>
    <w:rsid w:val="0004517D"/>
    <w:rsid w:val="00051DD7"/>
    <w:rsid w:val="00056EAA"/>
    <w:rsid w:val="000574F3"/>
    <w:rsid w:val="00062BA9"/>
    <w:rsid w:val="00063A4B"/>
    <w:rsid w:val="00063C56"/>
    <w:rsid w:val="000665DF"/>
    <w:rsid w:val="00066CBA"/>
    <w:rsid w:val="000714BB"/>
    <w:rsid w:val="000724EA"/>
    <w:rsid w:val="0007671B"/>
    <w:rsid w:val="00085CA1"/>
    <w:rsid w:val="00087F35"/>
    <w:rsid w:val="0009286D"/>
    <w:rsid w:val="00092A48"/>
    <w:rsid w:val="0009746B"/>
    <w:rsid w:val="000A1A71"/>
    <w:rsid w:val="000A3B36"/>
    <w:rsid w:val="000A6371"/>
    <w:rsid w:val="000A7A2C"/>
    <w:rsid w:val="000B0983"/>
    <w:rsid w:val="000B1236"/>
    <w:rsid w:val="000B46A8"/>
    <w:rsid w:val="000B79F6"/>
    <w:rsid w:val="000C3073"/>
    <w:rsid w:val="000C4AE6"/>
    <w:rsid w:val="000C709A"/>
    <w:rsid w:val="000D24E3"/>
    <w:rsid w:val="000D2B44"/>
    <w:rsid w:val="000D40DB"/>
    <w:rsid w:val="000E2A2D"/>
    <w:rsid w:val="000E7B75"/>
    <w:rsid w:val="000F1339"/>
    <w:rsid w:val="000F5A59"/>
    <w:rsid w:val="000F5F5F"/>
    <w:rsid w:val="0010143A"/>
    <w:rsid w:val="001020D9"/>
    <w:rsid w:val="00103348"/>
    <w:rsid w:val="00103913"/>
    <w:rsid w:val="001064CD"/>
    <w:rsid w:val="0010712E"/>
    <w:rsid w:val="0011156A"/>
    <w:rsid w:val="00111B28"/>
    <w:rsid w:val="00114CC0"/>
    <w:rsid w:val="00115916"/>
    <w:rsid w:val="00115A3D"/>
    <w:rsid w:val="00117ADA"/>
    <w:rsid w:val="001207A4"/>
    <w:rsid w:val="00121DE4"/>
    <w:rsid w:val="00125588"/>
    <w:rsid w:val="0012677D"/>
    <w:rsid w:val="001268B7"/>
    <w:rsid w:val="001273A0"/>
    <w:rsid w:val="001302A7"/>
    <w:rsid w:val="00130B6F"/>
    <w:rsid w:val="001320DF"/>
    <w:rsid w:val="00132DB5"/>
    <w:rsid w:val="00144E89"/>
    <w:rsid w:val="0014659F"/>
    <w:rsid w:val="00150767"/>
    <w:rsid w:val="00150EC7"/>
    <w:rsid w:val="001515E4"/>
    <w:rsid w:val="001536B3"/>
    <w:rsid w:val="00154A06"/>
    <w:rsid w:val="00154F15"/>
    <w:rsid w:val="00155623"/>
    <w:rsid w:val="00157C6D"/>
    <w:rsid w:val="00157DEE"/>
    <w:rsid w:val="001645AC"/>
    <w:rsid w:val="00164F15"/>
    <w:rsid w:val="0016752D"/>
    <w:rsid w:val="00167C52"/>
    <w:rsid w:val="00173892"/>
    <w:rsid w:val="001766D9"/>
    <w:rsid w:val="00177A94"/>
    <w:rsid w:val="00180E2D"/>
    <w:rsid w:val="00181071"/>
    <w:rsid w:val="00181980"/>
    <w:rsid w:val="00184144"/>
    <w:rsid w:val="001859A5"/>
    <w:rsid w:val="001864B6"/>
    <w:rsid w:val="00187253"/>
    <w:rsid w:val="00190077"/>
    <w:rsid w:val="001932AF"/>
    <w:rsid w:val="001937B4"/>
    <w:rsid w:val="001A632A"/>
    <w:rsid w:val="001A6941"/>
    <w:rsid w:val="001A6C79"/>
    <w:rsid w:val="001B4DA9"/>
    <w:rsid w:val="001B5454"/>
    <w:rsid w:val="001B55AC"/>
    <w:rsid w:val="001C709F"/>
    <w:rsid w:val="001C75B0"/>
    <w:rsid w:val="001D0532"/>
    <w:rsid w:val="001D1EB9"/>
    <w:rsid w:val="001D20C7"/>
    <w:rsid w:val="001D339B"/>
    <w:rsid w:val="001E2362"/>
    <w:rsid w:val="001E4648"/>
    <w:rsid w:val="001F1BC9"/>
    <w:rsid w:val="001F410B"/>
    <w:rsid w:val="001F5048"/>
    <w:rsid w:val="001F5421"/>
    <w:rsid w:val="00200A60"/>
    <w:rsid w:val="002012E1"/>
    <w:rsid w:val="002077B6"/>
    <w:rsid w:val="00211229"/>
    <w:rsid w:val="00211E0F"/>
    <w:rsid w:val="0021469C"/>
    <w:rsid w:val="00215CC6"/>
    <w:rsid w:val="00216ADC"/>
    <w:rsid w:val="00216F0D"/>
    <w:rsid w:val="002209F1"/>
    <w:rsid w:val="00220BF7"/>
    <w:rsid w:val="00224C44"/>
    <w:rsid w:val="00225CDC"/>
    <w:rsid w:val="00227A8C"/>
    <w:rsid w:val="00230AB3"/>
    <w:rsid w:val="00240B1F"/>
    <w:rsid w:val="002426D3"/>
    <w:rsid w:val="0024425D"/>
    <w:rsid w:val="002442B7"/>
    <w:rsid w:val="002455C7"/>
    <w:rsid w:val="0025137A"/>
    <w:rsid w:val="002543D5"/>
    <w:rsid w:val="002560BB"/>
    <w:rsid w:val="002561C8"/>
    <w:rsid w:val="00256304"/>
    <w:rsid w:val="00256CB2"/>
    <w:rsid w:val="0026542C"/>
    <w:rsid w:val="00271700"/>
    <w:rsid w:val="0027289A"/>
    <w:rsid w:val="00272A7B"/>
    <w:rsid w:val="00277BEB"/>
    <w:rsid w:val="00283061"/>
    <w:rsid w:val="0028364A"/>
    <w:rsid w:val="00283AC4"/>
    <w:rsid w:val="00290561"/>
    <w:rsid w:val="00294190"/>
    <w:rsid w:val="0029676B"/>
    <w:rsid w:val="00297C14"/>
    <w:rsid w:val="002A0041"/>
    <w:rsid w:val="002A651B"/>
    <w:rsid w:val="002A6DB8"/>
    <w:rsid w:val="002B6401"/>
    <w:rsid w:val="002C649A"/>
    <w:rsid w:val="002C74BB"/>
    <w:rsid w:val="002D0CE1"/>
    <w:rsid w:val="002D1FCC"/>
    <w:rsid w:val="002D2D27"/>
    <w:rsid w:val="002D2FC0"/>
    <w:rsid w:val="002D34D3"/>
    <w:rsid w:val="002D6EED"/>
    <w:rsid w:val="002E29C4"/>
    <w:rsid w:val="002E5532"/>
    <w:rsid w:val="002F0BB0"/>
    <w:rsid w:val="002F1222"/>
    <w:rsid w:val="0031105E"/>
    <w:rsid w:val="0031642B"/>
    <w:rsid w:val="00322263"/>
    <w:rsid w:val="00322899"/>
    <w:rsid w:val="00324259"/>
    <w:rsid w:val="0032469B"/>
    <w:rsid w:val="00325B91"/>
    <w:rsid w:val="003308C6"/>
    <w:rsid w:val="003316E3"/>
    <w:rsid w:val="0033212F"/>
    <w:rsid w:val="003323F5"/>
    <w:rsid w:val="003330F8"/>
    <w:rsid w:val="00335E06"/>
    <w:rsid w:val="003409B8"/>
    <w:rsid w:val="003439C4"/>
    <w:rsid w:val="00347B7E"/>
    <w:rsid w:val="003502E9"/>
    <w:rsid w:val="00351351"/>
    <w:rsid w:val="00360344"/>
    <w:rsid w:val="003613D2"/>
    <w:rsid w:val="00361AE1"/>
    <w:rsid w:val="0036422F"/>
    <w:rsid w:val="00371851"/>
    <w:rsid w:val="00371F01"/>
    <w:rsid w:val="003721AD"/>
    <w:rsid w:val="00372540"/>
    <w:rsid w:val="0037763B"/>
    <w:rsid w:val="00382640"/>
    <w:rsid w:val="0038357E"/>
    <w:rsid w:val="00384BAB"/>
    <w:rsid w:val="00384BFF"/>
    <w:rsid w:val="00385FFC"/>
    <w:rsid w:val="00387C56"/>
    <w:rsid w:val="003915CC"/>
    <w:rsid w:val="00391C12"/>
    <w:rsid w:val="003925E9"/>
    <w:rsid w:val="0039277B"/>
    <w:rsid w:val="00395823"/>
    <w:rsid w:val="003A1309"/>
    <w:rsid w:val="003A431E"/>
    <w:rsid w:val="003C084D"/>
    <w:rsid w:val="003C1059"/>
    <w:rsid w:val="003C7266"/>
    <w:rsid w:val="003D2078"/>
    <w:rsid w:val="003D3CAA"/>
    <w:rsid w:val="003D625C"/>
    <w:rsid w:val="003D6B6C"/>
    <w:rsid w:val="003D7611"/>
    <w:rsid w:val="003E7C71"/>
    <w:rsid w:val="003F2FA4"/>
    <w:rsid w:val="003F3B51"/>
    <w:rsid w:val="003F7AF5"/>
    <w:rsid w:val="003F7DB7"/>
    <w:rsid w:val="00401769"/>
    <w:rsid w:val="0040221E"/>
    <w:rsid w:val="00403DCC"/>
    <w:rsid w:val="0040595A"/>
    <w:rsid w:val="00405C5F"/>
    <w:rsid w:val="004072FA"/>
    <w:rsid w:val="00407C90"/>
    <w:rsid w:val="00407D3B"/>
    <w:rsid w:val="0041345E"/>
    <w:rsid w:val="004158A1"/>
    <w:rsid w:val="00415CCD"/>
    <w:rsid w:val="00417570"/>
    <w:rsid w:val="00420666"/>
    <w:rsid w:val="004300D4"/>
    <w:rsid w:val="0043157A"/>
    <w:rsid w:val="004316F0"/>
    <w:rsid w:val="00432F7A"/>
    <w:rsid w:val="00435372"/>
    <w:rsid w:val="00441859"/>
    <w:rsid w:val="00445A75"/>
    <w:rsid w:val="004476EF"/>
    <w:rsid w:val="004520DC"/>
    <w:rsid w:val="0045310F"/>
    <w:rsid w:val="00454E0D"/>
    <w:rsid w:val="004554CB"/>
    <w:rsid w:val="0045678B"/>
    <w:rsid w:val="004607CD"/>
    <w:rsid w:val="00463E3C"/>
    <w:rsid w:val="00474AF3"/>
    <w:rsid w:val="004775D2"/>
    <w:rsid w:val="00477689"/>
    <w:rsid w:val="0047783A"/>
    <w:rsid w:val="00483E26"/>
    <w:rsid w:val="0049088E"/>
    <w:rsid w:val="0049293D"/>
    <w:rsid w:val="00494168"/>
    <w:rsid w:val="00494E3F"/>
    <w:rsid w:val="004A0140"/>
    <w:rsid w:val="004A101E"/>
    <w:rsid w:val="004A6563"/>
    <w:rsid w:val="004A7ED9"/>
    <w:rsid w:val="004B50F9"/>
    <w:rsid w:val="004B7463"/>
    <w:rsid w:val="004C270A"/>
    <w:rsid w:val="004C35B5"/>
    <w:rsid w:val="004C3C82"/>
    <w:rsid w:val="004C77A2"/>
    <w:rsid w:val="004D2FD8"/>
    <w:rsid w:val="004D33C9"/>
    <w:rsid w:val="004E43B2"/>
    <w:rsid w:val="004E6C5D"/>
    <w:rsid w:val="004F5C57"/>
    <w:rsid w:val="004F7A0E"/>
    <w:rsid w:val="005005D7"/>
    <w:rsid w:val="00501FF0"/>
    <w:rsid w:val="005047E0"/>
    <w:rsid w:val="00507AF2"/>
    <w:rsid w:val="00507BA0"/>
    <w:rsid w:val="005103A2"/>
    <w:rsid w:val="00512BE8"/>
    <w:rsid w:val="00513C6F"/>
    <w:rsid w:val="00515D85"/>
    <w:rsid w:val="00516552"/>
    <w:rsid w:val="0052175F"/>
    <w:rsid w:val="00530948"/>
    <w:rsid w:val="0053480C"/>
    <w:rsid w:val="00535826"/>
    <w:rsid w:val="00536B4A"/>
    <w:rsid w:val="00537189"/>
    <w:rsid w:val="00551543"/>
    <w:rsid w:val="005523CC"/>
    <w:rsid w:val="00554164"/>
    <w:rsid w:val="00555F46"/>
    <w:rsid w:val="00556923"/>
    <w:rsid w:val="005634B2"/>
    <w:rsid w:val="00563662"/>
    <w:rsid w:val="00563669"/>
    <w:rsid w:val="0057491F"/>
    <w:rsid w:val="00575CB0"/>
    <w:rsid w:val="005772F7"/>
    <w:rsid w:val="00582894"/>
    <w:rsid w:val="00583FF3"/>
    <w:rsid w:val="00584F28"/>
    <w:rsid w:val="00586D6C"/>
    <w:rsid w:val="00591F23"/>
    <w:rsid w:val="005921FA"/>
    <w:rsid w:val="00593430"/>
    <w:rsid w:val="00593550"/>
    <w:rsid w:val="005967B4"/>
    <w:rsid w:val="005A016E"/>
    <w:rsid w:val="005A6C0F"/>
    <w:rsid w:val="005B0129"/>
    <w:rsid w:val="005B083F"/>
    <w:rsid w:val="005B2018"/>
    <w:rsid w:val="005B3CAB"/>
    <w:rsid w:val="005B637E"/>
    <w:rsid w:val="005B64D2"/>
    <w:rsid w:val="005C0EA1"/>
    <w:rsid w:val="005C29BE"/>
    <w:rsid w:val="005C36B8"/>
    <w:rsid w:val="005C3E53"/>
    <w:rsid w:val="005D0163"/>
    <w:rsid w:val="005D03AA"/>
    <w:rsid w:val="005D05B0"/>
    <w:rsid w:val="005D72F7"/>
    <w:rsid w:val="005E7167"/>
    <w:rsid w:val="005F3C51"/>
    <w:rsid w:val="005F406F"/>
    <w:rsid w:val="005F4611"/>
    <w:rsid w:val="005F62D0"/>
    <w:rsid w:val="00602210"/>
    <w:rsid w:val="00611A73"/>
    <w:rsid w:val="006219A1"/>
    <w:rsid w:val="00623AB3"/>
    <w:rsid w:val="006311FE"/>
    <w:rsid w:val="0063123B"/>
    <w:rsid w:val="00633829"/>
    <w:rsid w:val="00636E8F"/>
    <w:rsid w:val="00637C8F"/>
    <w:rsid w:val="006408AC"/>
    <w:rsid w:val="00640D24"/>
    <w:rsid w:val="00642E75"/>
    <w:rsid w:val="00655A60"/>
    <w:rsid w:val="00661B3C"/>
    <w:rsid w:val="0066519D"/>
    <w:rsid w:val="00670223"/>
    <w:rsid w:val="00677500"/>
    <w:rsid w:val="0068247E"/>
    <w:rsid w:val="00684801"/>
    <w:rsid w:val="006858D9"/>
    <w:rsid w:val="00686ACD"/>
    <w:rsid w:val="00686E07"/>
    <w:rsid w:val="006917B2"/>
    <w:rsid w:val="00692095"/>
    <w:rsid w:val="00695007"/>
    <w:rsid w:val="006A5F84"/>
    <w:rsid w:val="006B0AB1"/>
    <w:rsid w:val="006B145B"/>
    <w:rsid w:val="006C2F05"/>
    <w:rsid w:val="006C3263"/>
    <w:rsid w:val="006C513D"/>
    <w:rsid w:val="006C7E92"/>
    <w:rsid w:val="006D3BA1"/>
    <w:rsid w:val="006D3DE4"/>
    <w:rsid w:val="006D5CEE"/>
    <w:rsid w:val="006E5450"/>
    <w:rsid w:val="006E54F2"/>
    <w:rsid w:val="006E56FD"/>
    <w:rsid w:val="006E5B49"/>
    <w:rsid w:val="006E6880"/>
    <w:rsid w:val="006F43E5"/>
    <w:rsid w:val="006F596C"/>
    <w:rsid w:val="00703B91"/>
    <w:rsid w:val="00704477"/>
    <w:rsid w:val="00704A7B"/>
    <w:rsid w:val="00711C72"/>
    <w:rsid w:val="0071243A"/>
    <w:rsid w:val="00722016"/>
    <w:rsid w:val="00723F21"/>
    <w:rsid w:val="00724C93"/>
    <w:rsid w:val="00724D0C"/>
    <w:rsid w:val="00725082"/>
    <w:rsid w:val="0073450F"/>
    <w:rsid w:val="007520CA"/>
    <w:rsid w:val="0075384B"/>
    <w:rsid w:val="007552DC"/>
    <w:rsid w:val="00760195"/>
    <w:rsid w:val="007625F7"/>
    <w:rsid w:val="00763299"/>
    <w:rsid w:val="00763B1C"/>
    <w:rsid w:val="00763CCB"/>
    <w:rsid w:val="007666CD"/>
    <w:rsid w:val="00775F12"/>
    <w:rsid w:val="00776BF7"/>
    <w:rsid w:val="0077784C"/>
    <w:rsid w:val="00777E99"/>
    <w:rsid w:val="007858B9"/>
    <w:rsid w:val="007865B9"/>
    <w:rsid w:val="00792A1B"/>
    <w:rsid w:val="00794EE6"/>
    <w:rsid w:val="00797C04"/>
    <w:rsid w:val="007A0045"/>
    <w:rsid w:val="007A1101"/>
    <w:rsid w:val="007A3D34"/>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BE9"/>
    <w:rsid w:val="00833EBD"/>
    <w:rsid w:val="008413B3"/>
    <w:rsid w:val="008428B9"/>
    <w:rsid w:val="00851BCF"/>
    <w:rsid w:val="00853F9D"/>
    <w:rsid w:val="00855409"/>
    <w:rsid w:val="0085667F"/>
    <w:rsid w:val="00860358"/>
    <w:rsid w:val="008617F3"/>
    <w:rsid w:val="0086688D"/>
    <w:rsid w:val="00866B17"/>
    <w:rsid w:val="00866C9A"/>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A048D"/>
    <w:rsid w:val="008A0660"/>
    <w:rsid w:val="008A39B7"/>
    <w:rsid w:val="008A6DE2"/>
    <w:rsid w:val="008B230C"/>
    <w:rsid w:val="008B3123"/>
    <w:rsid w:val="008C4E79"/>
    <w:rsid w:val="008C5A40"/>
    <w:rsid w:val="008C5DAA"/>
    <w:rsid w:val="008C66DC"/>
    <w:rsid w:val="008C6A92"/>
    <w:rsid w:val="008D065E"/>
    <w:rsid w:val="008E40E2"/>
    <w:rsid w:val="008E5F59"/>
    <w:rsid w:val="008E7A2D"/>
    <w:rsid w:val="008F3866"/>
    <w:rsid w:val="008F4FF6"/>
    <w:rsid w:val="008F5CFE"/>
    <w:rsid w:val="009143FD"/>
    <w:rsid w:val="00920A51"/>
    <w:rsid w:val="00922542"/>
    <w:rsid w:val="00923EDA"/>
    <w:rsid w:val="009251E3"/>
    <w:rsid w:val="00925DBE"/>
    <w:rsid w:val="00930AD1"/>
    <w:rsid w:val="0093582A"/>
    <w:rsid w:val="009372A3"/>
    <w:rsid w:val="00942DE1"/>
    <w:rsid w:val="0094670B"/>
    <w:rsid w:val="009479A3"/>
    <w:rsid w:val="00950B0C"/>
    <w:rsid w:val="0095376F"/>
    <w:rsid w:val="00955FAE"/>
    <w:rsid w:val="009679FA"/>
    <w:rsid w:val="0097513D"/>
    <w:rsid w:val="00977F1F"/>
    <w:rsid w:val="00980A42"/>
    <w:rsid w:val="009823E7"/>
    <w:rsid w:val="00983FDE"/>
    <w:rsid w:val="00986475"/>
    <w:rsid w:val="00986B1E"/>
    <w:rsid w:val="00987CD3"/>
    <w:rsid w:val="009976B3"/>
    <w:rsid w:val="009A0E33"/>
    <w:rsid w:val="009A3792"/>
    <w:rsid w:val="009A3A53"/>
    <w:rsid w:val="009A4F18"/>
    <w:rsid w:val="009B0CF1"/>
    <w:rsid w:val="009B1FBF"/>
    <w:rsid w:val="009B2F1F"/>
    <w:rsid w:val="009B422E"/>
    <w:rsid w:val="009B4D6F"/>
    <w:rsid w:val="009B5A6D"/>
    <w:rsid w:val="009B71DF"/>
    <w:rsid w:val="009C0E86"/>
    <w:rsid w:val="009D2938"/>
    <w:rsid w:val="009D6A3D"/>
    <w:rsid w:val="009E4F6E"/>
    <w:rsid w:val="009E6BB7"/>
    <w:rsid w:val="009F22C3"/>
    <w:rsid w:val="009F3126"/>
    <w:rsid w:val="009F7E6A"/>
    <w:rsid w:val="00A039CA"/>
    <w:rsid w:val="00A04004"/>
    <w:rsid w:val="00A11551"/>
    <w:rsid w:val="00A11F12"/>
    <w:rsid w:val="00A1746F"/>
    <w:rsid w:val="00A233FB"/>
    <w:rsid w:val="00A2645C"/>
    <w:rsid w:val="00A41B28"/>
    <w:rsid w:val="00A5099A"/>
    <w:rsid w:val="00A512A5"/>
    <w:rsid w:val="00A512C9"/>
    <w:rsid w:val="00A539E4"/>
    <w:rsid w:val="00A56046"/>
    <w:rsid w:val="00A62073"/>
    <w:rsid w:val="00A6273A"/>
    <w:rsid w:val="00A63E3C"/>
    <w:rsid w:val="00A665A2"/>
    <w:rsid w:val="00A7016F"/>
    <w:rsid w:val="00A72C82"/>
    <w:rsid w:val="00A75650"/>
    <w:rsid w:val="00A76A6E"/>
    <w:rsid w:val="00A845B1"/>
    <w:rsid w:val="00A87E3D"/>
    <w:rsid w:val="00A90875"/>
    <w:rsid w:val="00A91829"/>
    <w:rsid w:val="00A9597C"/>
    <w:rsid w:val="00AA24A4"/>
    <w:rsid w:val="00AA3AAB"/>
    <w:rsid w:val="00AA4766"/>
    <w:rsid w:val="00AA5BB2"/>
    <w:rsid w:val="00AB26E0"/>
    <w:rsid w:val="00AB29A9"/>
    <w:rsid w:val="00AB3A36"/>
    <w:rsid w:val="00AB3AB0"/>
    <w:rsid w:val="00AB5ED5"/>
    <w:rsid w:val="00AB66A5"/>
    <w:rsid w:val="00AC1107"/>
    <w:rsid w:val="00AC2621"/>
    <w:rsid w:val="00AC5207"/>
    <w:rsid w:val="00AC7636"/>
    <w:rsid w:val="00AC7EEC"/>
    <w:rsid w:val="00AD1A3A"/>
    <w:rsid w:val="00AD68A8"/>
    <w:rsid w:val="00AE0E38"/>
    <w:rsid w:val="00AE47A5"/>
    <w:rsid w:val="00AE5192"/>
    <w:rsid w:val="00AE5504"/>
    <w:rsid w:val="00AE6600"/>
    <w:rsid w:val="00AE7D13"/>
    <w:rsid w:val="00AF394C"/>
    <w:rsid w:val="00AF4052"/>
    <w:rsid w:val="00AF47CA"/>
    <w:rsid w:val="00B003F6"/>
    <w:rsid w:val="00B0538B"/>
    <w:rsid w:val="00B07102"/>
    <w:rsid w:val="00B1165D"/>
    <w:rsid w:val="00B12EB5"/>
    <w:rsid w:val="00B17A53"/>
    <w:rsid w:val="00B207DB"/>
    <w:rsid w:val="00B22470"/>
    <w:rsid w:val="00B2499C"/>
    <w:rsid w:val="00B2529B"/>
    <w:rsid w:val="00B277E4"/>
    <w:rsid w:val="00B30528"/>
    <w:rsid w:val="00B3168E"/>
    <w:rsid w:val="00B34179"/>
    <w:rsid w:val="00B354EB"/>
    <w:rsid w:val="00B41C40"/>
    <w:rsid w:val="00B44B08"/>
    <w:rsid w:val="00B44DC5"/>
    <w:rsid w:val="00B4772C"/>
    <w:rsid w:val="00B50D3F"/>
    <w:rsid w:val="00B51209"/>
    <w:rsid w:val="00B52AFC"/>
    <w:rsid w:val="00B569B1"/>
    <w:rsid w:val="00B576E1"/>
    <w:rsid w:val="00B57BB8"/>
    <w:rsid w:val="00B605B6"/>
    <w:rsid w:val="00B61CED"/>
    <w:rsid w:val="00B63280"/>
    <w:rsid w:val="00B70C0E"/>
    <w:rsid w:val="00B71408"/>
    <w:rsid w:val="00B7329A"/>
    <w:rsid w:val="00B80DE8"/>
    <w:rsid w:val="00B8161D"/>
    <w:rsid w:val="00B84EBC"/>
    <w:rsid w:val="00B90A17"/>
    <w:rsid w:val="00B90C14"/>
    <w:rsid w:val="00B9316C"/>
    <w:rsid w:val="00B965CD"/>
    <w:rsid w:val="00B9691D"/>
    <w:rsid w:val="00BA3081"/>
    <w:rsid w:val="00BA3B1A"/>
    <w:rsid w:val="00BA70CB"/>
    <w:rsid w:val="00BB2075"/>
    <w:rsid w:val="00BB56D3"/>
    <w:rsid w:val="00BC0008"/>
    <w:rsid w:val="00BC0A51"/>
    <w:rsid w:val="00BC3B75"/>
    <w:rsid w:val="00BC3D17"/>
    <w:rsid w:val="00BC6222"/>
    <w:rsid w:val="00BC743F"/>
    <w:rsid w:val="00BD083B"/>
    <w:rsid w:val="00BD1004"/>
    <w:rsid w:val="00BD1306"/>
    <w:rsid w:val="00BD19BA"/>
    <w:rsid w:val="00BD201F"/>
    <w:rsid w:val="00BD2F43"/>
    <w:rsid w:val="00BD3371"/>
    <w:rsid w:val="00BD72C6"/>
    <w:rsid w:val="00BE1771"/>
    <w:rsid w:val="00BE1CD5"/>
    <w:rsid w:val="00BE3FDF"/>
    <w:rsid w:val="00BF1A9A"/>
    <w:rsid w:val="00C12AF0"/>
    <w:rsid w:val="00C13C29"/>
    <w:rsid w:val="00C1524D"/>
    <w:rsid w:val="00C1712E"/>
    <w:rsid w:val="00C17310"/>
    <w:rsid w:val="00C20179"/>
    <w:rsid w:val="00C20F71"/>
    <w:rsid w:val="00C22AD1"/>
    <w:rsid w:val="00C302E1"/>
    <w:rsid w:val="00C3235B"/>
    <w:rsid w:val="00C34E40"/>
    <w:rsid w:val="00C41328"/>
    <w:rsid w:val="00C41919"/>
    <w:rsid w:val="00C45D2B"/>
    <w:rsid w:val="00C52305"/>
    <w:rsid w:val="00C61312"/>
    <w:rsid w:val="00C67382"/>
    <w:rsid w:val="00C70783"/>
    <w:rsid w:val="00C70E2C"/>
    <w:rsid w:val="00C720C8"/>
    <w:rsid w:val="00C73AAE"/>
    <w:rsid w:val="00C73F87"/>
    <w:rsid w:val="00C75CCE"/>
    <w:rsid w:val="00C778A1"/>
    <w:rsid w:val="00C80DCF"/>
    <w:rsid w:val="00C8298B"/>
    <w:rsid w:val="00C846C9"/>
    <w:rsid w:val="00C86724"/>
    <w:rsid w:val="00C92434"/>
    <w:rsid w:val="00C94A76"/>
    <w:rsid w:val="00C95838"/>
    <w:rsid w:val="00CA1354"/>
    <w:rsid w:val="00CA1E77"/>
    <w:rsid w:val="00CA3F76"/>
    <w:rsid w:val="00CA6C68"/>
    <w:rsid w:val="00CB616B"/>
    <w:rsid w:val="00CC7DE2"/>
    <w:rsid w:val="00CD00D8"/>
    <w:rsid w:val="00CD4C7A"/>
    <w:rsid w:val="00CD68C0"/>
    <w:rsid w:val="00CD6FC9"/>
    <w:rsid w:val="00CD7F25"/>
    <w:rsid w:val="00CE259E"/>
    <w:rsid w:val="00CF2DE2"/>
    <w:rsid w:val="00CF30C4"/>
    <w:rsid w:val="00CF6CFA"/>
    <w:rsid w:val="00D02E23"/>
    <w:rsid w:val="00D10FED"/>
    <w:rsid w:val="00D11009"/>
    <w:rsid w:val="00D131B2"/>
    <w:rsid w:val="00D23D4C"/>
    <w:rsid w:val="00D243E7"/>
    <w:rsid w:val="00D24469"/>
    <w:rsid w:val="00D24893"/>
    <w:rsid w:val="00D25711"/>
    <w:rsid w:val="00D312D2"/>
    <w:rsid w:val="00D360F2"/>
    <w:rsid w:val="00D43612"/>
    <w:rsid w:val="00D4393D"/>
    <w:rsid w:val="00D50FCB"/>
    <w:rsid w:val="00D52CBF"/>
    <w:rsid w:val="00D541A5"/>
    <w:rsid w:val="00D576CA"/>
    <w:rsid w:val="00D60913"/>
    <w:rsid w:val="00D662AA"/>
    <w:rsid w:val="00D66F04"/>
    <w:rsid w:val="00D678AC"/>
    <w:rsid w:val="00D71AF3"/>
    <w:rsid w:val="00D74544"/>
    <w:rsid w:val="00D75213"/>
    <w:rsid w:val="00D75E7A"/>
    <w:rsid w:val="00D76E8A"/>
    <w:rsid w:val="00D82847"/>
    <w:rsid w:val="00D83918"/>
    <w:rsid w:val="00D83D1B"/>
    <w:rsid w:val="00D86B5F"/>
    <w:rsid w:val="00D90043"/>
    <w:rsid w:val="00D91D64"/>
    <w:rsid w:val="00D92D6A"/>
    <w:rsid w:val="00D93DB5"/>
    <w:rsid w:val="00D979C6"/>
    <w:rsid w:val="00DA4AB8"/>
    <w:rsid w:val="00DB6496"/>
    <w:rsid w:val="00DC50E2"/>
    <w:rsid w:val="00DC54A0"/>
    <w:rsid w:val="00DC6C9C"/>
    <w:rsid w:val="00DD0624"/>
    <w:rsid w:val="00DD13B0"/>
    <w:rsid w:val="00DD2B6E"/>
    <w:rsid w:val="00DD5838"/>
    <w:rsid w:val="00DE13B8"/>
    <w:rsid w:val="00DE7055"/>
    <w:rsid w:val="00DE71AB"/>
    <w:rsid w:val="00DF7145"/>
    <w:rsid w:val="00DF7327"/>
    <w:rsid w:val="00DF7EE0"/>
    <w:rsid w:val="00E0198C"/>
    <w:rsid w:val="00E0295D"/>
    <w:rsid w:val="00E0396B"/>
    <w:rsid w:val="00E13CDE"/>
    <w:rsid w:val="00E14817"/>
    <w:rsid w:val="00E17269"/>
    <w:rsid w:val="00E2190B"/>
    <w:rsid w:val="00E219CD"/>
    <w:rsid w:val="00E22C44"/>
    <w:rsid w:val="00E2682A"/>
    <w:rsid w:val="00E27678"/>
    <w:rsid w:val="00E33D2D"/>
    <w:rsid w:val="00E340A7"/>
    <w:rsid w:val="00E34208"/>
    <w:rsid w:val="00E36C8F"/>
    <w:rsid w:val="00E37290"/>
    <w:rsid w:val="00E37A55"/>
    <w:rsid w:val="00E37E11"/>
    <w:rsid w:val="00E41C6F"/>
    <w:rsid w:val="00E46AA5"/>
    <w:rsid w:val="00E52467"/>
    <w:rsid w:val="00E52D98"/>
    <w:rsid w:val="00E5499A"/>
    <w:rsid w:val="00E54B1B"/>
    <w:rsid w:val="00E571E1"/>
    <w:rsid w:val="00E60A37"/>
    <w:rsid w:val="00E62221"/>
    <w:rsid w:val="00E62923"/>
    <w:rsid w:val="00E653F0"/>
    <w:rsid w:val="00E65505"/>
    <w:rsid w:val="00E66C96"/>
    <w:rsid w:val="00E66D22"/>
    <w:rsid w:val="00E70416"/>
    <w:rsid w:val="00E730A5"/>
    <w:rsid w:val="00E74AE4"/>
    <w:rsid w:val="00E76535"/>
    <w:rsid w:val="00E811F3"/>
    <w:rsid w:val="00E85F91"/>
    <w:rsid w:val="00E87734"/>
    <w:rsid w:val="00E95CA7"/>
    <w:rsid w:val="00EA63E1"/>
    <w:rsid w:val="00EB2C4D"/>
    <w:rsid w:val="00EB32E9"/>
    <w:rsid w:val="00EB3F46"/>
    <w:rsid w:val="00EB45CB"/>
    <w:rsid w:val="00EB78F4"/>
    <w:rsid w:val="00EC0CD5"/>
    <w:rsid w:val="00EC51B6"/>
    <w:rsid w:val="00EE0ED9"/>
    <w:rsid w:val="00EE23B1"/>
    <w:rsid w:val="00EE2E55"/>
    <w:rsid w:val="00EE456E"/>
    <w:rsid w:val="00EF1C05"/>
    <w:rsid w:val="00EF2EEA"/>
    <w:rsid w:val="00EF3951"/>
    <w:rsid w:val="00EF6426"/>
    <w:rsid w:val="00EF6552"/>
    <w:rsid w:val="00F017DE"/>
    <w:rsid w:val="00F02006"/>
    <w:rsid w:val="00F0405C"/>
    <w:rsid w:val="00F0574A"/>
    <w:rsid w:val="00F0781F"/>
    <w:rsid w:val="00F16179"/>
    <w:rsid w:val="00F215D8"/>
    <w:rsid w:val="00F30624"/>
    <w:rsid w:val="00F31FBC"/>
    <w:rsid w:val="00F33149"/>
    <w:rsid w:val="00F33605"/>
    <w:rsid w:val="00F33A99"/>
    <w:rsid w:val="00F355C1"/>
    <w:rsid w:val="00F35D21"/>
    <w:rsid w:val="00F40C03"/>
    <w:rsid w:val="00F4288C"/>
    <w:rsid w:val="00F4528C"/>
    <w:rsid w:val="00F460CA"/>
    <w:rsid w:val="00F50314"/>
    <w:rsid w:val="00F51D3D"/>
    <w:rsid w:val="00F56D4C"/>
    <w:rsid w:val="00F60098"/>
    <w:rsid w:val="00F63BE6"/>
    <w:rsid w:val="00F658F3"/>
    <w:rsid w:val="00F671B9"/>
    <w:rsid w:val="00F676D0"/>
    <w:rsid w:val="00F67C74"/>
    <w:rsid w:val="00F70353"/>
    <w:rsid w:val="00F72977"/>
    <w:rsid w:val="00F75F46"/>
    <w:rsid w:val="00F8016B"/>
    <w:rsid w:val="00F804E1"/>
    <w:rsid w:val="00F85B06"/>
    <w:rsid w:val="00F86699"/>
    <w:rsid w:val="00F874CE"/>
    <w:rsid w:val="00F87ABC"/>
    <w:rsid w:val="00F87F88"/>
    <w:rsid w:val="00F90A9F"/>
    <w:rsid w:val="00F91DF6"/>
    <w:rsid w:val="00F94745"/>
    <w:rsid w:val="00F962E3"/>
    <w:rsid w:val="00FA3F66"/>
    <w:rsid w:val="00FB06FF"/>
    <w:rsid w:val="00FB2706"/>
    <w:rsid w:val="00FB3374"/>
    <w:rsid w:val="00FB67DE"/>
    <w:rsid w:val="00FC37E4"/>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0D9"/>
    <w:pPr>
      <w:spacing w:before="120" w:after="120"/>
    </w:pPr>
    <w:rPr>
      <w:rFonts w:ascii="Arial" w:hAnsi="Arial"/>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rPr>
  </w:style>
  <w:style w:type="paragraph" w:styleId="Heading2">
    <w:name w:val="heading 2"/>
    <w:basedOn w:val="Normal"/>
    <w:next w:val="Normal"/>
    <w:link w:val="Heading2Char"/>
    <w:qFormat/>
    <w:pPr>
      <w:keepNext/>
      <w:outlineLvl w:val="1"/>
    </w:p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Subtitle">
    <w:name w:val="Subtitle"/>
    <w:basedOn w:val="Normal"/>
    <w:link w:val="SubtitleChar"/>
    <w:qFormat/>
    <w:pPr>
      <w:jc w:val="center"/>
    </w:pPr>
    <w:rPr>
      <w:b/>
      <w:sz w:val="28"/>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autoRedefine/>
    <w:qFormat/>
    <w:rsid w:val="001020D9"/>
    <w:pPr>
      <w:spacing w:before="0"/>
    </w:pPr>
    <w:rPr>
      <w:rFonts w:ascii="Times New Roman" w:hAnsi="Times New Roman"/>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FR" w:eastAsia="en-US" w:bidi="ar-SA"/>
    </w:rPr>
  </w:style>
  <w:style w:type="character" w:customStyle="1" w:styleId="Heading1Char1">
    <w:name w:val="Heading 1 Char1"/>
    <w:link w:val="Heading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Heading3Char">
    <w:name w:val="Heading 3 Char"/>
    <w:link w:val="Heading3"/>
    <w:semiHidden/>
    <w:locked/>
    <w:rsid w:val="0047783A"/>
    <w:rPr>
      <w:rFonts w:ascii="Arial" w:hAnsi="Arial"/>
      <w:snapToGrid w:val="0"/>
      <w:lang w:val="fr-FR" w:eastAsia="en-US" w:bidi="ar-SA"/>
    </w:rPr>
  </w:style>
  <w:style w:type="character" w:customStyle="1" w:styleId="Heading4Char">
    <w:name w:val="Heading 4 Char"/>
    <w:link w:val="Heading4"/>
    <w:semiHidden/>
    <w:locked/>
    <w:rsid w:val="0047783A"/>
    <w:rPr>
      <w:rFonts w:ascii="Arial" w:hAnsi="Arial"/>
      <w:b/>
      <w:snapToGrid w:val="0"/>
      <w:sz w:val="24"/>
      <w:lang w:val="fr-FR" w:eastAsia="en-US" w:bidi="ar-SA"/>
    </w:rPr>
  </w:style>
  <w:style w:type="character" w:customStyle="1" w:styleId="Heading5Char">
    <w:name w:val="Heading 5 Char"/>
    <w:link w:val="Heading5"/>
    <w:semiHidden/>
    <w:locked/>
    <w:rsid w:val="0047783A"/>
    <w:rPr>
      <w:rFonts w:ascii="Arial" w:hAnsi="Arial"/>
      <w:snapToGrid w:val="0"/>
      <w:sz w:val="22"/>
      <w:lang w:val="fr-FR" w:eastAsia="en-US" w:bidi="ar-SA"/>
    </w:rPr>
  </w:style>
  <w:style w:type="character" w:customStyle="1" w:styleId="Heading6Char">
    <w:name w:val="Heading 6 Char"/>
    <w:link w:val="Heading6"/>
    <w:semiHidden/>
    <w:locked/>
    <w:rsid w:val="0047783A"/>
    <w:rPr>
      <w:rFonts w:ascii="Arial" w:hAnsi="Arial"/>
      <w:i/>
      <w:snapToGrid w:val="0"/>
      <w:sz w:val="22"/>
      <w:lang w:val="fr-FR" w:eastAsia="en-US" w:bidi="ar-SA"/>
    </w:rPr>
  </w:style>
  <w:style w:type="character" w:customStyle="1" w:styleId="Heading7Char">
    <w:name w:val="Heading 7 Char"/>
    <w:link w:val="Heading7"/>
    <w:semiHidden/>
    <w:locked/>
    <w:rsid w:val="0047783A"/>
    <w:rPr>
      <w:rFonts w:ascii="Arial" w:hAnsi="Arial"/>
      <w:snapToGrid w:val="0"/>
      <w:lang w:val="fr-FR" w:eastAsia="en-US" w:bidi="ar-SA"/>
    </w:rPr>
  </w:style>
  <w:style w:type="character" w:customStyle="1" w:styleId="Heading8Char">
    <w:name w:val="Heading 8 Char"/>
    <w:link w:val="Heading8"/>
    <w:semiHidden/>
    <w:locked/>
    <w:rsid w:val="0047783A"/>
    <w:rPr>
      <w:rFonts w:ascii="Arial" w:hAnsi="Arial"/>
      <w:i/>
      <w:snapToGrid w:val="0"/>
      <w:lang w:val="fr-FR" w:eastAsia="en-US" w:bidi="ar-SA"/>
    </w:rPr>
  </w:style>
  <w:style w:type="character" w:customStyle="1" w:styleId="Heading9Char">
    <w:name w:val="Heading 9 Char"/>
    <w:link w:val="Heading9"/>
    <w:semiHidden/>
    <w:locked/>
    <w:rsid w:val="0047783A"/>
    <w:rPr>
      <w:rFonts w:ascii="Arial" w:hAnsi="Arial"/>
      <w:b/>
      <w:i/>
      <w:snapToGrid w:val="0"/>
      <w:sz w:val="18"/>
      <w:lang w:val="fr-FR" w:eastAsia="en-US" w:bidi="ar-SA"/>
    </w:rPr>
  </w:style>
  <w:style w:type="character" w:customStyle="1" w:styleId="TitleChar">
    <w:name w:val="Title Char"/>
    <w:link w:val="Title"/>
    <w:locked/>
    <w:rsid w:val="0047783A"/>
    <w:rPr>
      <w:rFonts w:ascii="Arial" w:hAnsi="Arial"/>
      <w:b/>
      <w:snapToGrid w:val="0"/>
      <w:sz w:val="28"/>
      <w:lang w:val="fr-FR" w:eastAsia="en-US" w:bidi="ar-SA"/>
    </w:rPr>
  </w:style>
  <w:style w:type="character" w:customStyle="1" w:styleId="SubtitleChar">
    <w:name w:val="Subtitle Char"/>
    <w:link w:val="Subtitle"/>
    <w:locked/>
    <w:rsid w:val="0047783A"/>
    <w:rPr>
      <w:rFonts w:ascii="Arial" w:hAnsi="Arial"/>
      <w:b/>
      <w:snapToGrid w:val="0"/>
      <w:sz w:val="28"/>
      <w:lang w:val="fr-FR" w:eastAsia="en-US" w:bidi="ar-SA"/>
    </w:rPr>
  </w:style>
  <w:style w:type="character" w:customStyle="1" w:styleId="BodyTextIndentChar">
    <w:name w:val="Body Text Indent Char"/>
    <w:link w:val="BodyTextIndent"/>
    <w:semiHidden/>
    <w:locked/>
    <w:rsid w:val="0047783A"/>
    <w:rPr>
      <w:snapToGrid w:val="0"/>
      <w:sz w:val="24"/>
      <w:lang w:val="fr-FR" w:eastAsia="en-US" w:bidi="ar-SA"/>
    </w:rPr>
  </w:style>
  <w:style w:type="character" w:customStyle="1" w:styleId="BodyTextChar">
    <w:name w:val="Body Text Char"/>
    <w:link w:val="BodyText"/>
    <w:semiHidden/>
    <w:locked/>
    <w:rsid w:val="0047783A"/>
    <w:rPr>
      <w:rFonts w:ascii="Arial" w:hAnsi="Arial"/>
      <w:snapToGrid w:val="0"/>
      <w:lang w:val="fr-FR"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fr-FR" w:eastAsia="en-US" w:bidi="ar-SA"/>
    </w:rPr>
  </w:style>
  <w:style w:type="character" w:customStyle="1" w:styleId="BodyTextIndent3Char">
    <w:name w:val="Body Text Indent 3 Char"/>
    <w:link w:val="BodyTextIndent3"/>
    <w:semiHidden/>
    <w:locked/>
    <w:rsid w:val="0047783A"/>
    <w:rPr>
      <w:rFonts w:ascii="Arial" w:hAnsi="Arial"/>
      <w:snapToGrid w:val="0"/>
      <w:sz w:val="24"/>
      <w:lang w:val="fr-FR" w:eastAsia="en-US" w:bidi="ar-SA"/>
    </w:rPr>
  </w:style>
  <w:style w:type="character" w:customStyle="1" w:styleId="HeaderChar">
    <w:name w:val="Header Char"/>
    <w:link w:val="Header"/>
    <w:semiHidden/>
    <w:locked/>
    <w:rsid w:val="0047783A"/>
    <w:rPr>
      <w:rFonts w:ascii="Arial" w:hAnsi="Arial"/>
      <w:snapToGrid w:val="0"/>
      <w:lang w:val="fr-FR" w:eastAsia="en-US" w:bidi="ar-SA"/>
    </w:rPr>
  </w:style>
  <w:style w:type="character" w:customStyle="1" w:styleId="FooterChar">
    <w:name w:val="Footer Char"/>
    <w:link w:val="Footer"/>
    <w:uiPriority w:val="99"/>
    <w:locked/>
    <w:rsid w:val="0047783A"/>
    <w:rPr>
      <w:rFonts w:ascii="Arial" w:hAnsi="Arial"/>
      <w:snapToGrid w:val="0"/>
      <w:lang w:val="fr-FR" w:eastAsia="en-US" w:bidi="ar-SA"/>
    </w:rPr>
  </w:style>
  <w:style w:type="character" w:customStyle="1" w:styleId="BodyText3Char">
    <w:name w:val="Body Text 3 Char"/>
    <w:link w:val="BodyText3"/>
    <w:semiHidden/>
    <w:locked/>
    <w:rsid w:val="0047783A"/>
    <w:rPr>
      <w:rFonts w:ascii="Arial" w:hAnsi="Arial"/>
      <w:b/>
      <w:snapToGrid w:val="0"/>
      <w:sz w:val="24"/>
      <w:lang w:val="fr-FR"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rPr>
  </w:style>
  <w:style w:type="character" w:styleId="CommentReference">
    <w:name w:val="annotation reference"/>
    <w:uiPriority w:val="99"/>
    <w:semiHidden/>
    <w:rsid w:val="00EE23B1"/>
    <w:rPr>
      <w:sz w:val="16"/>
      <w:szCs w:val="16"/>
    </w:rPr>
  </w:style>
  <w:style w:type="paragraph" w:styleId="CommentText">
    <w:name w:val="annotation text"/>
    <w:basedOn w:val="Normal"/>
    <w:link w:val="CommentTextChar"/>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eastAsia="en-US"/>
    </w:rPr>
  </w:style>
  <w:style w:type="paragraph" w:customStyle="1" w:styleId="Default">
    <w:name w:val="Default"/>
    <w:rsid w:val="00E76535"/>
    <w:pPr>
      <w:autoSpaceDE w:val="0"/>
      <w:autoSpaceDN w:val="0"/>
      <w:adjustRightInd w:val="0"/>
    </w:pPr>
    <w:rPr>
      <w:color w:val="000000"/>
      <w:sz w:val="24"/>
      <w:szCs w:val="24"/>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styleId="UnresolvedMention">
    <w:name w:val="Unresolved Mention"/>
    <w:basedOn w:val="DefaultParagraphFont"/>
    <w:uiPriority w:val="99"/>
    <w:semiHidden/>
    <w:unhideWhenUsed/>
    <w:rsid w:val="00132DB5"/>
    <w:rPr>
      <w:color w:val="605E5C"/>
      <w:shd w:val="clear" w:color="auto" w:fill="E1DFDD"/>
    </w:rPr>
  </w:style>
  <w:style w:type="paragraph" w:customStyle="1" w:styleId="PRAGHeading2">
    <w:name w:val="PRAG Heading 2"/>
    <w:basedOn w:val="Normal"/>
    <w:uiPriority w:val="99"/>
    <w:rsid w:val="00CE259E"/>
    <w:pPr>
      <w:widowControl w:val="0"/>
      <w:numPr>
        <w:numId w:val="25"/>
      </w:numPr>
      <w:spacing w:before="100" w:after="100"/>
    </w:pPr>
    <w:rPr>
      <w:rFonts w:ascii="Times New Roman" w:hAnsi="Times New Roman"/>
      <w:snapToGrid/>
      <w:sz w:val="24"/>
      <w:szCs w:val="24"/>
      <w:lang w:val="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san.marches@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50724-DDBC-472C-BF0B-51DD2AB59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XXXXXXX</Company>
  <LinksUpToDate>false</LinksUpToDate>
  <CharactersWithSpaces>12602</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AL Thermil</cp:lastModifiedBy>
  <cp:revision>3</cp:revision>
  <cp:lastPrinted>2026-04-28T14:14:00Z</cp:lastPrinted>
  <dcterms:created xsi:type="dcterms:W3CDTF">2026-04-23T14:12:00Z</dcterms:created>
  <dcterms:modified xsi:type="dcterms:W3CDTF">2026-04-28T14:14:00Z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